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B74C9" w14:textId="77777777" w:rsidR="005E6976" w:rsidRDefault="005E6976">
      <w:pPr>
        <w:tabs>
          <w:tab w:val="center" w:pos="4819"/>
          <w:tab w:val="right" w:pos="9638"/>
        </w:tabs>
      </w:pPr>
    </w:p>
    <w:p w14:paraId="667C2CE4" w14:textId="77777777" w:rsidR="005E6976" w:rsidRDefault="0082149C">
      <w:pPr>
        <w:tabs>
          <w:tab w:val="center" w:pos="4819"/>
          <w:tab w:val="right" w:pos="9638"/>
        </w:tabs>
        <w:jc w:val="center"/>
        <w:rPr>
          <w:b/>
          <w:bCs/>
          <w:szCs w:val="24"/>
        </w:rPr>
      </w:pPr>
      <w:r>
        <w:rPr>
          <w:noProof/>
          <w:szCs w:val="24"/>
          <w:lang w:eastAsia="ko-KR"/>
        </w:rPr>
        <w:drawing>
          <wp:inline distT="0" distB="0" distL="0" distR="0" wp14:anchorId="1F428C8B" wp14:editId="57167428">
            <wp:extent cx="542290" cy="55499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290" cy="554990"/>
                    </a:xfrm>
                    <a:prstGeom prst="rect">
                      <a:avLst/>
                    </a:prstGeom>
                    <a:noFill/>
                  </pic:spPr>
                </pic:pic>
              </a:graphicData>
            </a:graphic>
          </wp:inline>
        </w:drawing>
      </w:r>
    </w:p>
    <w:p w14:paraId="44D319EB" w14:textId="77777777" w:rsidR="005E6976" w:rsidRDefault="005E6976">
      <w:pPr>
        <w:tabs>
          <w:tab w:val="center" w:pos="4819"/>
          <w:tab w:val="right" w:pos="9638"/>
        </w:tabs>
        <w:jc w:val="center"/>
        <w:rPr>
          <w:b/>
          <w:bCs/>
          <w:szCs w:val="24"/>
        </w:rPr>
      </w:pPr>
    </w:p>
    <w:p w14:paraId="71962635" w14:textId="77777777" w:rsidR="005E6976" w:rsidRDefault="0082149C">
      <w:pPr>
        <w:jc w:val="center"/>
        <w:rPr>
          <w:b/>
          <w:caps/>
          <w:color w:val="000000"/>
        </w:rPr>
      </w:pPr>
      <w:r>
        <w:rPr>
          <w:b/>
          <w:caps/>
          <w:color w:val="000000"/>
        </w:rPr>
        <w:t xml:space="preserve">VALSTYBINĖS MOKESČIŲ INSPEKCIJOS </w:t>
      </w:r>
      <w:r>
        <w:rPr>
          <w:b/>
          <w:caps/>
          <w:color w:val="000000"/>
        </w:rPr>
        <w:br/>
        <w:t xml:space="preserve">PRIE LIETUVOS RESPUBLIKOS FINANSŲ MINISTERIJOS </w:t>
      </w:r>
      <w:r>
        <w:rPr>
          <w:b/>
          <w:caps/>
          <w:color w:val="000000"/>
        </w:rPr>
        <w:br/>
        <w:t>VIRŠININKAS</w:t>
      </w:r>
    </w:p>
    <w:p w14:paraId="2844B74A" w14:textId="77777777" w:rsidR="005E6976" w:rsidRDefault="005E6976">
      <w:pPr>
        <w:jc w:val="center"/>
        <w:rPr>
          <w:b/>
          <w:caps/>
          <w:color w:val="000000"/>
        </w:rPr>
      </w:pPr>
    </w:p>
    <w:p w14:paraId="6F386B6B" w14:textId="77777777" w:rsidR="005E6976" w:rsidRDefault="0082149C">
      <w:pPr>
        <w:ind w:hanging="8"/>
        <w:jc w:val="center"/>
        <w:rPr>
          <w:b/>
          <w:szCs w:val="24"/>
        </w:rPr>
      </w:pPr>
      <w:r>
        <w:rPr>
          <w:b/>
          <w:szCs w:val="24"/>
        </w:rPr>
        <w:t>ĮSAKYMAS</w:t>
      </w:r>
    </w:p>
    <w:p w14:paraId="627DEA65" w14:textId="77777777" w:rsidR="005E6976" w:rsidRDefault="0082149C">
      <w:pPr>
        <w:ind w:firstLine="54"/>
        <w:jc w:val="center"/>
        <w:rPr>
          <w:b/>
          <w:bCs/>
          <w:caps/>
        </w:rPr>
      </w:pPr>
      <w:r>
        <w:rPr>
          <w:b/>
          <w:caps/>
        </w:rPr>
        <w:t>Dėl Elektroninio kvito naudojimo taisyklių patvirtinimo</w:t>
      </w:r>
      <w:r>
        <w:rPr>
          <w:b/>
          <w:bCs/>
          <w:caps/>
        </w:rPr>
        <w:t xml:space="preserve"> </w:t>
      </w:r>
    </w:p>
    <w:p w14:paraId="13960EB8" w14:textId="77777777" w:rsidR="005E6976" w:rsidRDefault="005E6976">
      <w:pPr>
        <w:ind w:hanging="8"/>
        <w:jc w:val="center"/>
        <w:rPr>
          <w:b/>
          <w:bCs/>
          <w:caps/>
        </w:rPr>
      </w:pPr>
    </w:p>
    <w:p w14:paraId="7EBF5D24" w14:textId="77777777" w:rsidR="005E6976" w:rsidRDefault="0082149C">
      <w:pPr>
        <w:ind w:hanging="8"/>
        <w:jc w:val="center"/>
        <w:rPr>
          <w:bCs/>
        </w:rPr>
      </w:pPr>
      <w:r>
        <w:rPr>
          <w:bCs/>
        </w:rPr>
        <w:t>2024 m. kovo 29 d. Nr. VA-33</w:t>
      </w:r>
    </w:p>
    <w:p w14:paraId="0E65260B" w14:textId="77777777" w:rsidR="005E6976" w:rsidRDefault="0082149C">
      <w:pPr>
        <w:ind w:hanging="8"/>
        <w:jc w:val="center"/>
        <w:rPr>
          <w:b/>
        </w:rPr>
      </w:pPr>
      <w:r>
        <w:rPr>
          <w:bCs/>
        </w:rPr>
        <w:t>Vilnius</w:t>
      </w:r>
    </w:p>
    <w:p w14:paraId="59712021" w14:textId="77777777" w:rsidR="005E6976" w:rsidRDefault="005E6976">
      <w:pPr>
        <w:ind w:hanging="8"/>
        <w:jc w:val="center"/>
        <w:rPr>
          <w:b/>
          <w:bCs/>
          <w:color w:val="000000"/>
          <w:szCs w:val="24"/>
        </w:rPr>
      </w:pPr>
    </w:p>
    <w:p w14:paraId="63EA6B4D" w14:textId="77777777" w:rsidR="005E6976" w:rsidRDefault="0082149C">
      <w:pPr>
        <w:shd w:val="clear" w:color="auto" w:fill="FFFFFF"/>
        <w:ind w:firstLine="709"/>
        <w:jc w:val="both"/>
        <w:rPr>
          <w:szCs w:val="24"/>
          <w:lang w:eastAsia="lt-LT"/>
        </w:rPr>
      </w:pPr>
      <w:r>
        <w:rPr>
          <w:szCs w:val="24"/>
          <w:lang w:eastAsia="lt-LT"/>
        </w:rPr>
        <w:t xml:space="preserve">Vadovaudamasi </w:t>
      </w:r>
      <w:r>
        <w:rPr>
          <w:color w:val="000000"/>
          <w:szCs w:val="24"/>
          <w:lang w:eastAsia="lt-LT"/>
        </w:rPr>
        <w:t>Tvarių viešųjų finansų plėtros programos pažangos priemonės                    Nr. 04-001-08-05-02 „Didinti (gerinti) mokestinių prievolių vykdymą“ aprašo, patvirtinto L</w:t>
      </w:r>
      <w:r>
        <w:rPr>
          <w:bCs/>
          <w:color w:val="000000"/>
          <w:szCs w:val="24"/>
          <w:lang w:eastAsia="lt-LT"/>
        </w:rPr>
        <w:t xml:space="preserve">ietuvos Respublikos finansų ministro </w:t>
      </w:r>
      <w:r>
        <w:rPr>
          <w:color w:val="000000"/>
          <w:szCs w:val="24"/>
          <w:lang w:eastAsia="lt-LT"/>
        </w:rPr>
        <w:t xml:space="preserve">2022 m. liepos 25 d. </w:t>
      </w:r>
      <w:r>
        <w:rPr>
          <w:bCs/>
          <w:color w:val="000000"/>
          <w:szCs w:val="24"/>
          <w:lang w:eastAsia="lt-LT"/>
        </w:rPr>
        <w:t xml:space="preserve">įsakymu Nr. </w:t>
      </w:r>
      <w:proofErr w:type="spellStart"/>
      <w:r>
        <w:rPr>
          <w:color w:val="000000"/>
          <w:szCs w:val="24"/>
          <w:lang w:eastAsia="lt-LT"/>
        </w:rPr>
        <w:t>1K</w:t>
      </w:r>
      <w:proofErr w:type="spellEnd"/>
      <w:r>
        <w:rPr>
          <w:color w:val="000000"/>
          <w:szCs w:val="24"/>
          <w:lang w:eastAsia="lt-LT"/>
        </w:rPr>
        <w:t>-268</w:t>
      </w:r>
      <w:r>
        <w:rPr>
          <w:bCs/>
          <w:color w:val="000000"/>
          <w:szCs w:val="24"/>
          <w:lang w:eastAsia="lt-LT"/>
        </w:rPr>
        <w:t xml:space="preserve"> „Dėl Tvarių viešųjų finansų plėtros programos pažangos priemonės „Didinti (gerinti) mokestinių prievolių vykdymą“, 4 priedu bei </w:t>
      </w:r>
      <w:r>
        <w:rPr>
          <w:szCs w:val="24"/>
          <w:lang w:eastAsia="lt-LT"/>
        </w:rPr>
        <w:t>Valstybinės mokesčių inspekcijos prie Lietuvos Respublikos finansų ministerijos nuostatų, patvirtintų Lietuvos Respublikos finansų ministro 1997 m. liepos 29 d. įsakymu Nr. 110 „Dėl Valstybinės mokesčių inspekcijos prie Lietuvos Respublikos finansų ministerijos nuostatų patvirtinimo“, 21 punktu ir 22.9 papunkčiu:</w:t>
      </w:r>
    </w:p>
    <w:p w14:paraId="33235698" w14:textId="77777777" w:rsidR="005E6976" w:rsidRDefault="0082149C">
      <w:pPr>
        <w:tabs>
          <w:tab w:val="left" w:pos="851"/>
          <w:tab w:val="left" w:pos="993"/>
        </w:tabs>
        <w:ind w:left="1069" w:hanging="360"/>
        <w:jc w:val="both"/>
        <w:rPr>
          <w:szCs w:val="24"/>
          <w:lang w:eastAsia="lt-LT"/>
        </w:rPr>
      </w:pPr>
      <w:r>
        <w:rPr>
          <w:szCs w:val="24"/>
          <w:lang w:eastAsia="lt-LT"/>
        </w:rPr>
        <w:t>1.</w:t>
      </w:r>
      <w:r>
        <w:rPr>
          <w:szCs w:val="24"/>
          <w:lang w:eastAsia="lt-LT"/>
        </w:rPr>
        <w:tab/>
      </w:r>
      <w:r>
        <w:rPr>
          <w:spacing w:val="80"/>
          <w:szCs w:val="24"/>
          <w:lang w:eastAsia="lt-LT"/>
        </w:rPr>
        <w:t>Tvirtin</w:t>
      </w:r>
      <w:r>
        <w:rPr>
          <w:szCs w:val="24"/>
          <w:lang w:eastAsia="lt-LT"/>
        </w:rPr>
        <w:t xml:space="preserve">u </w:t>
      </w:r>
      <w:r>
        <w:rPr>
          <w:szCs w:val="24"/>
        </w:rPr>
        <w:t xml:space="preserve">Elektroninio kvito naudojimo taisykles </w:t>
      </w:r>
      <w:r>
        <w:rPr>
          <w:szCs w:val="24"/>
          <w:lang w:eastAsia="lt-LT"/>
        </w:rPr>
        <w:t>(pridedama).</w:t>
      </w:r>
    </w:p>
    <w:p w14:paraId="6DBDD517" w14:textId="77777777" w:rsidR="005E6976" w:rsidRDefault="0082149C">
      <w:pPr>
        <w:ind w:firstLine="709"/>
        <w:jc w:val="both"/>
        <w:rPr>
          <w:bCs/>
          <w:caps/>
          <w:szCs w:val="24"/>
        </w:rPr>
      </w:pPr>
      <w:r>
        <w:rPr>
          <w:bCs/>
          <w:szCs w:val="24"/>
        </w:rPr>
        <w:t xml:space="preserve">2. </w:t>
      </w:r>
      <w:r>
        <w:rPr>
          <w:bCs/>
          <w:spacing w:val="80"/>
          <w:szCs w:val="24"/>
        </w:rPr>
        <w:t>Nuroda</w:t>
      </w:r>
      <w:r>
        <w:rPr>
          <w:bCs/>
          <w:szCs w:val="24"/>
        </w:rPr>
        <w:t>u Valstybinės mokesčių inspekcijos prie Lietuvos Respublikos finansų ministerijos p</w:t>
      </w:r>
      <w:r>
        <w:rPr>
          <w:szCs w:val="24"/>
        </w:rPr>
        <w:t xml:space="preserve">rojekto „Plėtoti elektroninių dokumentų ekosistemą“ dalies – </w:t>
      </w:r>
      <w:proofErr w:type="spellStart"/>
      <w:r>
        <w:rPr>
          <w:szCs w:val="24"/>
        </w:rPr>
        <w:t>paprojekčio</w:t>
      </w:r>
      <w:proofErr w:type="spellEnd"/>
      <w:r>
        <w:rPr>
          <w:szCs w:val="24"/>
        </w:rPr>
        <w:t xml:space="preserve"> „Sprendimo, leidžiančio praktiškai naudoti e. kvitus, sukūrimas“ įgyvendinimo darbo grupei </w:t>
      </w:r>
      <w:r>
        <w:rPr>
          <w:bCs/>
          <w:szCs w:val="24"/>
        </w:rPr>
        <w:t xml:space="preserve">parengti elektroninio kvito duomenų rinkmenos </w:t>
      </w:r>
      <w:proofErr w:type="spellStart"/>
      <w:r>
        <w:rPr>
          <w:bCs/>
          <w:szCs w:val="24"/>
        </w:rPr>
        <w:t>xml</w:t>
      </w:r>
      <w:proofErr w:type="spellEnd"/>
      <w:r>
        <w:rPr>
          <w:bCs/>
          <w:szCs w:val="24"/>
        </w:rPr>
        <w:t xml:space="preserve"> struktūros aprašą (</w:t>
      </w:r>
      <w:proofErr w:type="spellStart"/>
      <w:r>
        <w:rPr>
          <w:bCs/>
          <w:szCs w:val="24"/>
        </w:rPr>
        <w:t>xsd</w:t>
      </w:r>
      <w:proofErr w:type="spellEnd"/>
      <w:r>
        <w:rPr>
          <w:bCs/>
          <w:szCs w:val="24"/>
        </w:rPr>
        <w:t>) ir ne vėliau kaip iki 2024 m. gruodžio 31 d. paskelbti Valstybinės mokesčių inspekcijos interneto svetainėje.</w:t>
      </w:r>
    </w:p>
    <w:p w14:paraId="26A4C553" w14:textId="77777777" w:rsidR="005E6976" w:rsidRDefault="0082149C">
      <w:pPr>
        <w:tabs>
          <w:tab w:val="left" w:pos="851"/>
          <w:tab w:val="left" w:pos="993"/>
        </w:tabs>
        <w:ind w:firstLine="709"/>
        <w:jc w:val="both"/>
        <w:rPr>
          <w:b/>
          <w:bCs/>
          <w:szCs w:val="24"/>
        </w:rPr>
      </w:pPr>
      <w:r>
        <w:rPr>
          <w:szCs w:val="24"/>
          <w:lang w:eastAsia="lt-LT"/>
        </w:rPr>
        <w:t>3.</w:t>
      </w:r>
      <w:r>
        <w:rPr>
          <w:szCs w:val="24"/>
          <w:lang w:eastAsia="lt-LT"/>
        </w:rPr>
        <w:tab/>
      </w:r>
      <w:r>
        <w:rPr>
          <w:spacing w:val="80"/>
          <w:szCs w:val="24"/>
          <w:lang w:eastAsia="lt-LT"/>
        </w:rPr>
        <w:t>Nustata</w:t>
      </w:r>
      <w:r>
        <w:rPr>
          <w:szCs w:val="24"/>
          <w:lang w:eastAsia="lt-LT"/>
        </w:rPr>
        <w:t>u, kad šis įsakymas įsigalioja 2024 m. liepos 1 d.</w:t>
      </w:r>
    </w:p>
    <w:p w14:paraId="1A32BF45" w14:textId="77777777" w:rsidR="005E6976" w:rsidRDefault="005E6976">
      <w:pPr>
        <w:rPr>
          <w:szCs w:val="24"/>
        </w:rPr>
      </w:pPr>
    </w:p>
    <w:p w14:paraId="27E083CC" w14:textId="77777777" w:rsidR="005E6976" w:rsidRDefault="0082149C">
      <w:pPr>
        <w:tabs>
          <w:tab w:val="left" w:pos="709"/>
        </w:tabs>
        <w:ind w:right="9"/>
        <w:jc w:val="both"/>
        <w:rPr>
          <w:color w:val="000000"/>
          <w:szCs w:val="24"/>
        </w:rPr>
      </w:pPr>
      <w:r>
        <w:rPr>
          <w:color w:val="000000"/>
          <w:szCs w:val="24"/>
        </w:rPr>
        <w:t>Viršininko pavaduotoja,</w:t>
      </w:r>
    </w:p>
    <w:p w14:paraId="6B2CF8C1" w14:textId="77777777" w:rsidR="005E6976" w:rsidRDefault="0082149C">
      <w:pPr>
        <w:tabs>
          <w:tab w:val="left" w:pos="709"/>
        </w:tabs>
        <w:ind w:right="9"/>
        <w:jc w:val="both"/>
        <w:rPr>
          <w:color w:val="000000"/>
          <w:szCs w:val="24"/>
        </w:rPr>
      </w:pPr>
      <w:r>
        <w:rPr>
          <w:color w:val="000000"/>
          <w:szCs w:val="24"/>
        </w:rPr>
        <w:t>atliekanti viršininko funkcijas</w:t>
      </w:r>
      <w:r>
        <w:rPr>
          <w:color w:val="000000"/>
          <w:szCs w:val="24"/>
        </w:rPr>
        <w:tab/>
      </w:r>
      <w:r>
        <w:rPr>
          <w:color w:val="000000"/>
          <w:szCs w:val="24"/>
        </w:rPr>
        <w:tab/>
      </w:r>
      <w:r>
        <w:rPr>
          <w:color w:val="000000"/>
          <w:szCs w:val="24"/>
        </w:rPr>
        <w:tab/>
        <w:t>Eglė Ramanauskienė</w:t>
      </w:r>
    </w:p>
    <w:p w14:paraId="3750078A" w14:textId="77777777" w:rsidR="005E6976" w:rsidRDefault="005E6976">
      <w:pPr>
        <w:ind w:firstLine="5103"/>
        <w:rPr>
          <w:szCs w:val="24"/>
          <w:lang w:eastAsia="lt-LT"/>
        </w:rPr>
      </w:pPr>
    </w:p>
    <w:p w14:paraId="205F7863" w14:textId="77777777" w:rsidR="0082149C" w:rsidRDefault="0082149C">
      <w:pPr>
        <w:ind w:left="3817" w:firstLine="1428"/>
        <w:sectPr w:rsidR="0082149C" w:rsidSect="0082149C">
          <w:headerReference w:type="even" r:id="rId8"/>
          <w:headerReference w:type="default" r:id="rId9"/>
          <w:footerReference w:type="even" r:id="rId10"/>
          <w:footerReference w:type="default" r:id="rId11"/>
          <w:headerReference w:type="first" r:id="rId12"/>
          <w:footerReference w:type="first" r:id="rId13"/>
          <w:pgSz w:w="11900" w:h="16840"/>
          <w:pgMar w:top="1296" w:right="720" w:bottom="1296" w:left="1440" w:header="706" w:footer="706" w:gutter="0"/>
          <w:pgNumType w:start="1"/>
          <w:cols w:space="708"/>
          <w:titlePg/>
          <w:docGrid w:linePitch="360"/>
        </w:sectPr>
      </w:pPr>
    </w:p>
    <w:p w14:paraId="099A3DC4" w14:textId="77777777" w:rsidR="005E6976" w:rsidRDefault="0082149C">
      <w:pPr>
        <w:ind w:left="3817" w:firstLine="1428"/>
        <w:rPr>
          <w:rFonts w:eastAsia="Calibri"/>
          <w:szCs w:val="24"/>
        </w:rPr>
      </w:pPr>
      <w:r>
        <w:rPr>
          <w:szCs w:val="24"/>
          <w:lang w:eastAsia="lt-LT"/>
        </w:rPr>
        <w:lastRenderedPageBreak/>
        <w:t>PATVIRTINTA</w:t>
      </w:r>
    </w:p>
    <w:p w14:paraId="7D404CD6" w14:textId="77777777" w:rsidR="005E6976" w:rsidRDefault="0082149C">
      <w:pPr>
        <w:tabs>
          <w:tab w:val="left" w:pos="5100"/>
        </w:tabs>
        <w:ind w:left="3817" w:firstLine="1428"/>
        <w:rPr>
          <w:szCs w:val="24"/>
          <w:lang w:eastAsia="lt-LT"/>
        </w:rPr>
      </w:pPr>
      <w:r>
        <w:rPr>
          <w:szCs w:val="24"/>
          <w:lang w:eastAsia="lt-LT"/>
        </w:rPr>
        <w:t xml:space="preserve">Valstybinės mokesčių inspekcijos prie </w:t>
      </w:r>
    </w:p>
    <w:p w14:paraId="26D09645" w14:textId="77777777" w:rsidR="005E6976" w:rsidRDefault="0082149C">
      <w:pPr>
        <w:tabs>
          <w:tab w:val="left" w:pos="5100"/>
        </w:tabs>
        <w:ind w:left="3817" w:firstLine="1428"/>
        <w:rPr>
          <w:szCs w:val="24"/>
          <w:lang w:eastAsia="lt-LT"/>
        </w:rPr>
      </w:pPr>
      <w:r>
        <w:rPr>
          <w:szCs w:val="24"/>
          <w:lang w:eastAsia="lt-LT"/>
        </w:rPr>
        <w:t xml:space="preserve">Lietuvos Respublikos finansų ministerijos </w:t>
      </w:r>
    </w:p>
    <w:p w14:paraId="2B219788" w14:textId="77777777" w:rsidR="005E6976" w:rsidRDefault="0082149C">
      <w:pPr>
        <w:tabs>
          <w:tab w:val="left" w:pos="5100"/>
        </w:tabs>
        <w:ind w:left="3817" w:firstLine="1428"/>
        <w:rPr>
          <w:szCs w:val="24"/>
          <w:lang w:eastAsia="lt-LT"/>
        </w:rPr>
      </w:pPr>
      <w:r>
        <w:rPr>
          <w:szCs w:val="24"/>
          <w:lang w:eastAsia="lt-LT"/>
        </w:rPr>
        <w:t xml:space="preserve">viršininko </w:t>
      </w:r>
    </w:p>
    <w:p w14:paraId="42BEF44E" w14:textId="77777777" w:rsidR="005E6976" w:rsidRDefault="0082149C">
      <w:pPr>
        <w:tabs>
          <w:tab w:val="left" w:pos="5100"/>
        </w:tabs>
        <w:ind w:left="3817" w:firstLine="1428"/>
        <w:rPr>
          <w:rFonts w:eastAsia="Calibri"/>
          <w:szCs w:val="24"/>
        </w:rPr>
      </w:pPr>
      <w:r>
        <w:rPr>
          <w:szCs w:val="24"/>
          <w:lang w:eastAsia="lt-LT"/>
        </w:rPr>
        <w:t>2024 m. kovo 29 d. įsakymu Nr. VA-33</w:t>
      </w:r>
    </w:p>
    <w:p w14:paraId="32AF1B25" w14:textId="77777777" w:rsidR="005E6976" w:rsidRDefault="005E6976">
      <w:pPr>
        <w:rPr>
          <w:rFonts w:eastAsia="Calibri"/>
          <w:szCs w:val="24"/>
        </w:rPr>
      </w:pPr>
    </w:p>
    <w:p w14:paraId="02B126DF" w14:textId="77777777" w:rsidR="005E6976" w:rsidRDefault="005E6976">
      <w:pPr>
        <w:rPr>
          <w:rFonts w:eastAsia="Calibri"/>
          <w:szCs w:val="24"/>
        </w:rPr>
      </w:pPr>
    </w:p>
    <w:p w14:paraId="612CF6FA" w14:textId="77777777" w:rsidR="005E6976" w:rsidRDefault="0082149C">
      <w:pPr>
        <w:jc w:val="center"/>
        <w:rPr>
          <w:b/>
          <w:szCs w:val="24"/>
        </w:rPr>
      </w:pPr>
      <w:r>
        <w:rPr>
          <w:b/>
          <w:szCs w:val="24"/>
        </w:rPr>
        <w:t>ELEKTRONINIO KVITO NAUDOJIMO TAISYKLĖS</w:t>
      </w:r>
    </w:p>
    <w:p w14:paraId="150BB6FB" w14:textId="77777777" w:rsidR="005E6976" w:rsidRDefault="005E6976">
      <w:pPr>
        <w:jc w:val="center"/>
        <w:rPr>
          <w:szCs w:val="24"/>
        </w:rPr>
      </w:pPr>
    </w:p>
    <w:p w14:paraId="7D7783B6" w14:textId="77777777" w:rsidR="005E6976" w:rsidRDefault="005E6976">
      <w:pPr>
        <w:jc w:val="center"/>
        <w:rPr>
          <w:szCs w:val="24"/>
        </w:rPr>
      </w:pPr>
    </w:p>
    <w:p w14:paraId="6D04D6B9" w14:textId="77777777" w:rsidR="005E6976" w:rsidRDefault="0082149C">
      <w:pPr>
        <w:jc w:val="center"/>
        <w:rPr>
          <w:b/>
          <w:szCs w:val="24"/>
        </w:rPr>
      </w:pPr>
      <w:r>
        <w:rPr>
          <w:b/>
          <w:szCs w:val="24"/>
        </w:rPr>
        <w:t>I SKYRIUS</w:t>
      </w:r>
    </w:p>
    <w:p w14:paraId="6DAE6FEA" w14:textId="77777777" w:rsidR="005E6976" w:rsidRDefault="0082149C">
      <w:pPr>
        <w:jc w:val="center"/>
        <w:rPr>
          <w:b/>
          <w:szCs w:val="24"/>
        </w:rPr>
      </w:pPr>
      <w:r>
        <w:rPr>
          <w:b/>
          <w:szCs w:val="24"/>
        </w:rPr>
        <w:t>BENDROSIOS NUOSTATOS</w:t>
      </w:r>
    </w:p>
    <w:p w14:paraId="580855D3" w14:textId="77777777" w:rsidR="005E6976" w:rsidRDefault="005E6976">
      <w:pPr>
        <w:spacing w:line="259" w:lineRule="auto"/>
        <w:ind w:left="720"/>
        <w:rPr>
          <w:szCs w:val="24"/>
        </w:rPr>
      </w:pPr>
    </w:p>
    <w:p w14:paraId="52D15632" w14:textId="77777777" w:rsidR="005E6976" w:rsidRDefault="0082149C">
      <w:pPr>
        <w:ind w:firstLine="709"/>
        <w:jc w:val="both"/>
        <w:rPr>
          <w:szCs w:val="24"/>
        </w:rPr>
      </w:pPr>
      <w:r>
        <w:rPr>
          <w:szCs w:val="24"/>
        </w:rPr>
        <w:t xml:space="preserve">1. Elektroninio kvito naudojimo taisyklės (toliau – Taisyklės) nustato elektroninio kvito sąvoką, pateikimo ir naudojimo reikalavimus ir kitus su elektroninio kvito naudojimu susijusius aspektus. </w:t>
      </w:r>
    </w:p>
    <w:p w14:paraId="43E48E23" w14:textId="77777777" w:rsidR="005E6976" w:rsidRDefault="0082149C">
      <w:pPr>
        <w:ind w:firstLine="709"/>
        <w:jc w:val="both"/>
        <w:rPr>
          <w:szCs w:val="24"/>
          <w:lang w:eastAsia="lt-LT"/>
        </w:rPr>
      </w:pPr>
      <w:r>
        <w:rPr>
          <w:color w:val="000000"/>
          <w:szCs w:val="24"/>
          <w:shd w:val="clear" w:color="auto" w:fill="FFFFFF"/>
        </w:rPr>
        <w:t xml:space="preserve">2. Šios Taisyklės parengtos, vadovaujantis </w:t>
      </w:r>
      <w:r>
        <w:rPr>
          <w:szCs w:val="24"/>
          <w:lang w:eastAsia="lt-LT"/>
        </w:rPr>
        <w:t xml:space="preserve">Lietuvos Respublikos finansinės apskaitos įstatymu (toliau – </w:t>
      </w:r>
      <w:proofErr w:type="spellStart"/>
      <w:r>
        <w:rPr>
          <w:szCs w:val="24"/>
          <w:lang w:eastAsia="lt-LT"/>
        </w:rPr>
        <w:t>FAĮ</w:t>
      </w:r>
      <w:proofErr w:type="spellEnd"/>
      <w:r>
        <w:rPr>
          <w:szCs w:val="24"/>
          <w:lang w:eastAsia="lt-LT"/>
        </w:rPr>
        <w:t xml:space="preserve">), Lietuvos Respublikos pridėtinės vertės mokesčio įstatymu (toliau – PVM įstatymas), Mokesčiams apskaičiuoti naudojamų apskaitos dokumentų išrašymo ir pripažinimo taisyklėmis, patvirtintomis Lietuvos Respublikos Vyriausybės 2002 m. gegužės 29 d. nutarimu Nr. 780 </w:t>
      </w:r>
      <w:hyperlink r:id="rId14" w:history="1">
        <w:r>
          <w:rPr>
            <w:szCs w:val="24"/>
            <w:lang w:eastAsia="lt-LT"/>
          </w:rPr>
          <w:t>„D</w:t>
        </w:r>
        <w:r>
          <w:rPr>
            <w:bCs/>
            <w:szCs w:val="24"/>
            <w:shd w:val="clear" w:color="auto" w:fill="FFFFFF"/>
          </w:rPr>
          <w:t>ėl Mokesčiams apskaičiuoti naudojamų apskaitos dokumentų išrašymo ir pripažinimo taisyklių patvirtinimo“</w:t>
        </w:r>
      </w:hyperlink>
      <w:r>
        <w:rPr>
          <w:szCs w:val="24"/>
          <w:lang w:eastAsia="lt-LT"/>
        </w:rPr>
        <w:t xml:space="preserve"> (toliau – Mokesčiams apskaičiuoti naudojamų dokumentų taisyklės), </w:t>
      </w:r>
      <w:r>
        <w:rPr>
          <w:szCs w:val="24"/>
        </w:rPr>
        <w:t>A</w:t>
      </w:r>
      <w:r>
        <w:rPr>
          <w:bCs/>
          <w:color w:val="000000"/>
          <w:szCs w:val="24"/>
          <w:shd w:val="clear" w:color="auto" w:fill="FFFFFF"/>
        </w:rPr>
        <w:t xml:space="preserve">tsiskaitymų už prekes ir paslaugas duomenų fiksavimo tvarkos aprašu, patvirtintu Lietuvos Respublikos Vyriausybės 2002 m. rugpjūčio 13 d. </w:t>
      </w:r>
      <w:r>
        <w:rPr>
          <w:szCs w:val="24"/>
        </w:rPr>
        <w:t xml:space="preserve">nutarimu Nr. 1283 </w:t>
      </w:r>
      <w:hyperlink r:id="rId15" w:history="1">
        <w:r>
          <w:rPr>
            <w:szCs w:val="24"/>
          </w:rPr>
          <w:t>„D</w:t>
        </w:r>
        <w:r>
          <w:rPr>
            <w:bCs/>
            <w:szCs w:val="24"/>
            <w:shd w:val="clear" w:color="auto" w:fill="FFFFFF"/>
          </w:rPr>
          <w:t>ėl Atsiskaitymų už prekes ir paslaugas duomenų fiksavimo tvarkos aprašo patvirtinimo“</w:t>
        </w:r>
      </w:hyperlink>
      <w:r>
        <w:rPr>
          <w:bCs/>
          <w:szCs w:val="24"/>
          <w:shd w:val="clear" w:color="auto" w:fill="FFFFFF"/>
        </w:rPr>
        <w:t xml:space="preserve"> </w:t>
      </w:r>
      <w:r>
        <w:rPr>
          <w:bCs/>
          <w:color w:val="000000"/>
          <w:szCs w:val="24"/>
          <w:shd w:val="clear" w:color="auto" w:fill="FFFFFF"/>
        </w:rPr>
        <w:t xml:space="preserve">(toliau – Aprašas), </w:t>
      </w:r>
      <w:r>
        <w:rPr>
          <w:szCs w:val="24"/>
          <w:lang w:eastAsia="lt-LT"/>
        </w:rPr>
        <w:t>ir kitais teisės aktais, reguliuojančiais apskaitos dokumentų tvarkymą.</w:t>
      </w:r>
    </w:p>
    <w:p w14:paraId="322DA39E" w14:textId="77777777" w:rsidR="005E6976" w:rsidRDefault="0082149C">
      <w:pPr>
        <w:ind w:firstLine="567"/>
        <w:jc w:val="both"/>
        <w:rPr>
          <w:szCs w:val="24"/>
        </w:rPr>
      </w:pPr>
      <w:r>
        <w:rPr>
          <w:color w:val="000000"/>
          <w:szCs w:val="24"/>
        </w:rPr>
        <w:t>3. T</w:t>
      </w:r>
      <w:r>
        <w:rPr>
          <w:color w:val="000000"/>
          <w:szCs w:val="24"/>
          <w:shd w:val="clear" w:color="auto" w:fill="FFFFFF"/>
        </w:rPr>
        <w:t xml:space="preserve">aisyklių </w:t>
      </w:r>
      <w:r>
        <w:rPr>
          <w:color w:val="000000"/>
          <w:szCs w:val="24"/>
        </w:rPr>
        <w:t xml:space="preserve">turi laikytis </w:t>
      </w:r>
      <w:r>
        <w:rPr>
          <w:bCs/>
          <w:color w:val="000000"/>
          <w:szCs w:val="24"/>
        </w:rPr>
        <w:t xml:space="preserve">ūkio subjektai, norintys ir (ar) turintys galimybę sugeneruoti </w:t>
      </w:r>
      <w:r>
        <w:rPr>
          <w:szCs w:val="24"/>
        </w:rPr>
        <w:t xml:space="preserve">elektroninį kvitą tiek kasos aparatu, tiek kita atitinkama technine ir (arba) programine įranga. </w:t>
      </w:r>
    </w:p>
    <w:p w14:paraId="1BEAA224" w14:textId="77777777" w:rsidR="005E6976" w:rsidRDefault="0082149C">
      <w:pPr>
        <w:ind w:firstLine="567"/>
        <w:jc w:val="both"/>
        <w:rPr>
          <w:szCs w:val="24"/>
        </w:rPr>
      </w:pPr>
      <w:r>
        <w:rPr>
          <w:szCs w:val="24"/>
        </w:rPr>
        <w:t xml:space="preserve">4. </w:t>
      </w:r>
      <w:r>
        <w:rPr>
          <w:color w:val="000000"/>
          <w:szCs w:val="24"/>
          <w:shd w:val="clear" w:color="auto" w:fill="FFFFFF"/>
        </w:rPr>
        <w:t>Taisyklėse v</w:t>
      </w:r>
      <w:r>
        <w:rPr>
          <w:szCs w:val="24"/>
        </w:rPr>
        <w:t>artojamos sąvokos:</w:t>
      </w:r>
    </w:p>
    <w:p w14:paraId="135B0C55" w14:textId="77777777" w:rsidR="005E6976" w:rsidRDefault="0082149C">
      <w:pPr>
        <w:ind w:firstLine="567"/>
        <w:jc w:val="both"/>
        <w:rPr>
          <w:b/>
          <w:i/>
        </w:rPr>
      </w:pPr>
      <w:r>
        <w:t>4.1.</w:t>
      </w:r>
      <w:r>
        <w:rPr>
          <w:b/>
        </w:rPr>
        <w:t xml:space="preserve"> </w:t>
      </w:r>
      <w:r>
        <w:rPr>
          <w:b/>
          <w:szCs w:val="24"/>
        </w:rPr>
        <w:t>Elektroninis kvitas</w:t>
      </w:r>
      <w:r>
        <w:rPr>
          <w:szCs w:val="24"/>
        </w:rPr>
        <w:t xml:space="preserve"> (toliau – </w:t>
      </w:r>
      <w:r>
        <w:rPr>
          <w:color w:val="000000"/>
          <w:szCs w:val="24"/>
        </w:rPr>
        <w:t xml:space="preserve">e. kvitas) </w:t>
      </w:r>
      <w:r>
        <w:t xml:space="preserve">– tai nustatyto turinio kasos aparatu, technine ir (arba) programine įranga suformuotas ir elektroniniu būdu pateiktas, ir elektroniniu būdu pirkėjo gautas prekių (paslaugų) pardavimo ir (ar) pirkimo operacijų duomenų rinkinys, patvirtinantis prekių (paslaugų) pardavimo ir (ar) pirkimo ūkinės operacijos įvykdymo bei sumokėjimo faktą (pvz., išankstinių (avansinių) įmokų ar nario mokesčio, įnašų ir pan.). Tokio elektroninio kvito perdavimas elektroniniu būdu ir elektroninio kvito formatas turi sudaryti galimybę jo duomenis automatiškai apdoroti informacinių technologijų programine įranga. </w:t>
      </w:r>
    </w:p>
    <w:p w14:paraId="26F4D6C6" w14:textId="77777777" w:rsidR="005E6976" w:rsidRDefault="0082149C">
      <w:pPr>
        <w:ind w:firstLine="567"/>
        <w:jc w:val="both"/>
        <w:rPr>
          <w:shd w:val="clear" w:color="auto" w:fill="FFFFFF"/>
        </w:rPr>
      </w:pPr>
      <w:r>
        <w:t xml:space="preserve">4.2. </w:t>
      </w:r>
      <w:r>
        <w:rPr>
          <w:b/>
        </w:rPr>
        <w:t>Pirkėjas</w:t>
      </w:r>
      <w:r>
        <w:t xml:space="preserve"> – </w:t>
      </w:r>
      <w:r>
        <w:rPr>
          <w:shd w:val="clear" w:color="auto" w:fill="FFFFFF"/>
        </w:rPr>
        <w:t>juridinis arba fizinis asmuo, prekes (paslaugas) perkantis ir prekių (paslaugų) pirkimo vietoje už jas atsiskaitantis, sumokantis tam tikrus mokesčius, įmokas, avansus.</w:t>
      </w:r>
    </w:p>
    <w:p w14:paraId="19E01EC2" w14:textId="77777777" w:rsidR="005E6976" w:rsidRDefault="0082149C">
      <w:pPr>
        <w:ind w:firstLine="567"/>
        <w:jc w:val="both"/>
        <w:rPr>
          <w:shd w:val="clear" w:color="auto" w:fill="FFFFFF"/>
        </w:rPr>
      </w:pPr>
      <w:r>
        <w:rPr>
          <w:shd w:val="clear" w:color="auto" w:fill="FFFFFF"/>
        </w:rPr>
        <w:t xml:space="preserve">4.3. </w:t>
      </w:r>
      <w:r>
        <w:rPr>
          <w:b/>
          <w:shd w:val="clear" w:color="auto" w:fill="FFFFFF"/>
        </w:rPr>
        <w:t>P</w:t>
      </w:r>
      <w:r>
        <w:rPr>
          <w:b/>
        </w:rPr>
        <w:t>ardavėjas</w:t>
      </w:r>
      <w:r>
        <w:t xml:space="preserve"> – </w:t>
      </w:r>
      <w:r>
        <w:rPr>
          <w:shd w:val="clear" w:color="auto" w:fill="FFFFFF"/>
        </w:rPr>
        <w:t xml:space="preserve">juridinis arba fizinis asmuo, prekes (paslaugas) parduodantis ir prekių (paslaugų) pardavimo vietoje už jas gaunantis pinigų, išduodantis grąžą, priimantis įmokas, mokesčius, avansą ir atliekantis kitus atsiskaitymo veiksmus. </w:t>
      </w:r>
    </w:p>
    <w:p w14:paraId="4608AE20" w14:textId="77777777" w:rsidR="005E6976" w:rsidRDefault="0082149C">
      <w:pPr>
        <w:ind w:firstLine="567"/>
        <w:jc w:val="both"/>
        <w:rPr>
          <w:szCs w:val="24"/>
        </w:rPr>
      </w:pPr>
      <w:r>
        <w:rPr>
          <w:szCs w:val="24"/>
        </w:rPr>
        <w:t xml:space="preserve">4.4. </w:t>
      </w:r>
      <w:r>
        <w:rPr>
          <w:b/>
          <w:szCs w:val="24"/>
        </w:rPr>
        <w:t>Atpažintas pirkėjas</w:t>
      </w:r>
      <w:r>
        <w:rPr>
          <w:szCs w:val="24"/>
        </w:rPr>
        <w:t xml:space="preserve"> – pirkėjas, pateikęs pardavėjui atpažinimo duomenis, pagal kuriuos pardavėjas informacinėmis technologijomis galėtų atpažinti ir susieti elektroninį kvitą su pirkėju. Tai gali būti šalių (pirkėjo ir pardavėjo) susitarimu naudojamas skaitmenų ir (ar) raidžių derinys, elektroninio pašto adresas, telefono numeris, </w:t>
      </w:r>
      <w:r>
        <w:rPr>
          <w:rFonts w:eastAsia="Arial Unicode MS"/>
          <w:bCs/>
          <w:szCs w:val="24"/>
        </w:rPr>
        <w:t xml:space="preserve">pirkėją atpažįstanti lojalumo </w:t>
      </w:r>
      <w:r>
        <w:rPr>
          <w:szCs w:val="24"/>
        </w:rPr>
        <w:t>programa arba kita pirkėjo elektroninės atpažinties priemonė, skirta elektroniniam kvitui elektroniniu būdu pirkėjui pateikti. Elektroninis kvitas gali būti išduotas tik atpažintam pirkėjui.</w:t>
      </w:r>
    </w:p>
    <w:p w14:paraId="560CDD90" w14:textId="77777777" w:rsidR="005E6976" w:rsidRDefault="0082149C">
      <w:pPr>
        <w:tabs>
          <w:tab w:val="left" w:pos="709"/>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4.5. </w:t>
      </w:r>
      <w:r>
        <w:rPr>
          <w:b/>
          <w:szCs w:val="24"/>
        </w:rPr>
        <w:t>Identifikuotas pirkėjas</w:t>
      </w:r>
      <w:r>
        <w:rPr>
          <w:szCs w:val="24"/>
        </w:rPr>
        <w:t xml:space="preserve"> – atpažintas</w:t>
      </w:r>
      <w:r>
        <w:rPr>
          <w:b/>
          <w:szCs w:val="24"/>
        </w:rPr>
        <w:t xml:space="preserve"> </w:t>
      </w:r>
      <w:r>
        <w:rPr>
          <w:szCs w:val="24"/>
        </w:rPr>
        <w:t xml:space="preserve">pirkėjas, pateikęs pardavėjui duomenis, pagal kuriuos pardavėjas gali </w:t>
      </w:r>
      <w:r>
        <w:rPr>
          <w:rFonts w:eastAsia="Arial Unicode MS"/>
          <w:szCs w:val="24"/>
        </w:rPr>
        <w:t xml:space="preserve">identifikuoti tokį pirkėją. Tai </w:t>
      </w:r>
      <w:r>
        <w:rPr>
          <w:szCs w:val="24"/>
          <w:shd w:val="clear" w:color="auto" w:fill="FFFFFF"/>
        </w:rPr>
        <w:t xml:space="preserve">individualios veiklos vykdymo pažymos numeris, verslo liudijimo numeris </w:t>
      </w:r>
      <w:r>
        <w:rPr>
          <w:rFonts w:eastAsia="Arial Unicode MS"/>
          <w:bCs/>
          <w:szCs w:val="24"/>
        </w:rPr>
        <w:t>ar kitas pirkėją identifikuojantis duomuo (pvz., pridėtinės vertės mokesčio mokėtojo kodas, mokesčio mokėtojo kodas).</w:t>
      </w:r>
    </w:p>
    <w:p w14:paraId="469CB248" w14:textId="77777777" w:rsidR="005E6976" w:rsidRDefault="0082149C">
      <w:pPr>
        <w:ind w:firstLine="567"/>
        <w:jc w:val="both"/>
        <w:rPr>
          <w:szCs w:val="24"/>
        </w:rPr>
      </w:pPr>
      <w:r>
        <w:rPr>
          <w:szCs w:val="24"/>
        </w:rPr>
        <w:lastRenderedPageBreak/>
        <w:t xml:space="preserve">4.6. </w:t>
      </w:r>
      <w:r>
        <w:rPr>
          <w:b/>
          <w:szCs w:val="24"/>
        </w:rPr>
        <w:t>Neidentifikuotas pirkėjas</w:t>
      </w:r>
      <w:r>
        <w:rPr>
          <w:szCs w:val="24"/>
        </w:rPr>
        <w:t xml:space="preserve"> – atpažintas</w:t>
      </w:r>
      <w:r>
        <w:rPr>
          <w:b/>
          <w:szCs w:val="24"/>
        </w:rPr>
        <w:t xml:space="preserve"> </w:t>
      </w:r>
      <w:r>
        <w:rPr>
          <w:szCs w:val="24"/>
        </w:rPr>
        <w:t xml:space="preserve">pirkėjas, nepateikęs pardavėjui duomenų, pagal kuriuos pardavėjas galėtų </w:t>
      </w:r>
      <w:r>
        <w:rPr>
          <w:rFonts w:eastAsia="Arial Unicode MS"/>
          <w:szCs w:val="24"/>
        </w:rPr>
        <w:t>identifikuoti konkretų asmenį</w:t>
      </w:r>
      <w:r>
        <w:rPr>
          <w:szCs w:val="24"/>
        </w:rPr>
        <w:t>, bet pateikęs informacijos, pagal kurią pardavėjas informacinėmis technologijomis galėtų atpažinti ir susieti elektroninį kvitą su pirkėju.</w:t>
      </w:r>
    </w:p>
    <w:p w14:paraId="04704D40" w14:textId="77777777" w:rsidR="005E6976" w:rsidRDefault="0082149C">
      <w:pPr>
        <w:ind w:firstLine="567"/>
        <w:jc w:val="both"/>
        <w:rPr>
          <w:szCs w:val="24"/>
        </w:rPr>
      </w:pPr>
      <w:r>
        <w:rPr>
          <w:szCs w:val="24"/>
        </w:rPr>
        <w:t xml:space="preserve">4.7. </w:t>
      </w:r>
      <w:r>
        <w:rPr>
          <w:b/>
          <w:szCs w:val="24"/>
        </w:rPr>
        <w:t>Elektroninio kvito pateikimas elektroniniu būdu</w:t>
      </w:r>
      <w:r>
        <w:rPr>
          <w:szCs w:val="24"/>
        </w:rPr>
        <w:t xml:space="preserve"> – tai: </w:t>
      </w:r>
    </w:p>
    <w:p w14:paraId="6350429A" w14:textId="77777777" w:rsidR="005E6976" w:rsidRDefault="0082149C">
      <w:pPr>
        <w:ind w:firstLine="567"/>
        <w:jc w:val="both"/>
        <w:rPr>
          <w:szCs w:val="24"/>
        </w:rPr>
      </w:pPr>
      <w:r>
        <w:rPr>
          <w:szCs w:val="24"/>
        </w:rPr>
        <w:t>4.7.1. prieigos prie elektroninio kvito duomenų, kurie tvarkomi informacinėse sistemose (pvz., lojalumo programa, verslo apskaitos sistemos, interneto portalas), pirkėjui suteikimas;</w:t>
      </w:r>
    </w:p>
    <w:p w14:paraId="1917EA2F" w14:textId="77777777" w:rsidR="005E6976" w:rsidRDefault="0082149C">
      <w:pPr>
        <w:ind w:firstLine="567"/>
        <w:jc w:val="both"/>
        <w:rPr>
          <w:szCs w:val="24"/>
        </w:rPr>
      </w:pPr>
      <w:r>
        <w:rPr>
          <w:szCs w:val="24"/>
        </w:rPr>
        <w:t>4.7.2. elektroninio kvito duomenų perdavimas, naudojant informacinių technologijų programines priemones, kuriomis pirkėjui suteikiama galimybė peržiūrėti ir tvarkyti nuo duomenų pakeitimo apsaugotus elektroninio kvito duomenis (pvz., elektroninis paštas, žiniatinklio paslaugos arba kito pobūdžio elektroninio formato pranešimai).</w:t>
      </w:r>
    </w:p>
    <w:p w14:paraId="457FD78E" w14:textId="77777777" w:rsidR="005E6976" w:rsidRDefault="0082149C">
      <w:pPr>
        <w:ind w:firstLine="567"/>
        <w:jc w:val="both"/>
        <w:rPr>
          <w:szCs w:val="24"/>
        </w:rPr>
      </w:pPr>
      <w:r>
        <w:rPr>
          <w:szCs w:val="24"/>
        </w:rPr>
        <w:t xml:space="preserve">4.8. Kitos </w:t>
      </w:r>
      <w:r>
        <w:rPr>
          <w:szCs w:val="24"/>
          <w:shd w:val="clear" w:color="auto" w:fill="FFFFFF"/>
        </w:rPr>
        <w:t xml:space="preserve">sąvokos atitinka PVM įstatyme, </w:t>
      </w:r>
      <w:proofErr w:type="spellStart"/>
      <w:r>
        <w:rPr>
          <w:szCs w:val="24"/>
          <w:shd w:val="clear" w:color="auto" w:fill="FFFFFF"/>
        </w:rPr>
        <w:t>FAĮ</w:t>
      </w:r>
      <w:proofErr w:type="spellEnd"/>
      <w:r>
        <w:rPr>
          <w:szCs w:val="24"/>
          <w:shd w:val="clear" w:color="auto" w:fill="FFFFFF"/>
        </w:rPr>
        <w:t xml:space="preserve"> </w:t>
      </w:r>
      <w:r>
        <w:rPr>
          <w:iCs/>
          <w:szCs w:val="24"/>
        </w:rPr>
        <w:t>bei</w:t>
      </w:r>
      <w:r>
        <w:rPr>
          <w:szCs w:val="24"/>
          <w:shd w:val="clear" w:color="auto" w:fill="FFFFFF"/>
        </w:rPr>
        <w:t xml:space="preserve"> kituose teisės aktuose</w:t>
      </w:r>
      <w:r>
        <w:rPr>
          <w:szCs w:val="24"/>
          <w:lang w:eastAsia="lt-LT"/>
        </w:rPr>
        <w:t>, susijusiuose su apskaitos dokumentų naudojimu,</w:t>
      </w:r>
      <w:r>
        <w:rPr>
          <w:szCs w:val="24"/>
          <w:shd w:val="clear" w:color="auto" w:fill="FFFFFF"/>
        </w:rPr>
        <w:t xml:space="preserve"> apibrėžtas sąvokas.</w:t>
      </w:r>
    </w:p>
    <w:p w14:paraId="547D2B31" w14:textId="77777777" w:rsidR="005E6976" w:rsidRDefault="005E6976">
      <w:pPr>
        <w:spacing w:line="259" w:lineRule="auto"/>
        <w:jc w:val="both"/>
        <w:rPr>
          <w:szCs w:val="24"/>
        </w:rPr>
      </w:pPr>
    </w:p>
    <w:p w14:paraId="60EED103" w14:textId="77777777" w:rsidR="005E6976" w:rsidRDefault="005E6976">
      <w:pPr>
        <w:rPr>
          <w:sz w:val="14"/>
          <w:szCs w:val="14"/>
        </w:rPr>
      </w:pPr>
    </w:p>
    <w:p w14:paraId="44D5549A" w14:textId="77777777" w:rsidR="005E6976" w:rsidRDefault="0082149C">
      <w:pPr>
        <w:jc w:val="center"/>
        <w:rPr>
          <w:b/>
          <w:szCs w:val="24"/>
        </w:rPr>
      </w:pPr>
      <w:r>
        <w:rPr>
          <w:b/>
          <w:szCs w:val="24"/>
        </w:rPr>
        <w:t>II SKYRIUS</w:t>
      </w:r>
    </w:p>
    <w:p w14:paraId="471B8318" w14:textId="77777777" w:rsidR="005E6976" w:rsidRDefault="0082149C">
      <w:pPr>
        <w:jc w:val="center"/>
        <w:rPr>
          <w:b/>
          <w:szCs w:val="24"/>
        </w:rPr>
      </w:pPr>
      <w:r>
        <w:rPr>
          <w:b/>
          <w:szCs w:val="24"/>
        </w:rPr>
        <w:t>BENDRIEJI E.</w:t>
      </w:r>
      <w:r>
        <w:rPr>
          <w:szCs w:val="24"/>
        </w:rPr>
        <w:t> </w:t>
      </w:r>
      <w:r>
        <w:rPr>
          <w:b/>
          <w:szCs w:val="24"/>
        </w:rPr>
        <w:t>KVITO PATEIKIMO IR NAUDOJIMO REIKALAVIMAI</w:t>
      </w:r>
    </w:p>
    <w:p w14:paraId="0580FFD2" w14:textId="77777777" w:rsidR="005E6976" w:rsidRDefault="005E6976">
      <w:pPr>
        <w:jc w:val="center"/>
        <w:rPr>
          <w:szCs w:val="24"/>
        </w:rPr>
      </w:pPr>
    </w:p>
    <w:p w14:paraId="40E2D56F" w14:textId="77777777" w:rsidR="005E6976" w:rsidRDefault="0082149C">
      <w:pPr>
        <w:ind w:firstLine="567"/>
        <w:jc w:val="both"/>
        <w:rPr>
          <w:szCs w:val="24"/>
        </w:rPr>
      </w:pPr>
      <w:r>
        <w:rPr>
          <w:szCs w:val="24"/>
        </w:rPr>
        <w:t>5. E. kvitas gali būti pateikiamas, pirkėjams atsiskaitant tiek grynaisiais, tiek negrynaisiais pinigais. E. kvitas gali būti formuojamas ir pirkėjui perduodamas kasos aparatu, kai yra naudojamas kasos aparatas arba kita pardavėjo naudojama</w:t>
      </w:r>
      <w:r>
        <w:rPr>
          <w:szCs w:val="24"/>
          <w:shd w:val="clear" w:color="auto" w:fill="FFFFFF"/>
        </w:rPr>
        <w:t xml:space="preserve"> verslo valdymo sistema (angl. </w:t>
      </w:r>
      <w:proofErr w:type="spellStart"/>
      <w:r>
        <w:rPr>
          <w:i/>
          <w:szCs w:val="24"/>
          <w:shd w:val="clear" w:color="auto" w:fill="FFFFFF"/>
        </w:rPr>
        <w:t>ERP</w:t>
      </w:r>
      <w:proofErr w:type="spellEnd"/>
      <w:r>
        <w:rPr>
          <w:szCs w:val="24"/>
          <w:shd w:val="clear" w:color="auto" w:fill="FFFFFF"/>
        </w:rPr>
        <w:t xml:space="preserve"> – </w:t>
      </w:r>
      <w:proofErr w:type="spellStart"/>
      <w:r>
        <w:rPr>
          <w:i/>
          <w:szCs w:val="24"/>
          <w:shd w:val="clear" w:color="auto" w:fill="FFFFFF"/>
        </w:rPr>
        <w:t>Enterprise</w:t>
      </w:r>
      <w:proofErr w:type="spellEnd"/>
      <w:r>
        <w:rPr>
          <w:i/>
          <w:szCs w:val="24"/>
          <w:shd w:val="clear" w:color="auto" w:fill="FFFFFF"/>
        </w:rPr>
        <w:t xml:space="preserve"> </w:t>
      </w:r>
      <w:proofErr w:type="spellStart"/>
      <w:r>
        <w:rPr>
          <w:i/>
          <w:szCs w:val="24"/>
          <w:shd w:val="clear" w:color="auto" w:fill="FFFFFF"/>
        </w:rPr>
        <w:t>Resource</w:t>
      </w:r>
      <w:proofErr w:type="spellEnd"/>
      <w:r>
        <w:rPr>
          <w:i/>
          <w:szCs w:val="24"/>
          <w:shd w:val="clear" w:color="auto" w:fill="FFFFFF"/>
        </w:rPr>
        <w:t xml:space="preserve"> </w:t>
      </w:r>
      <w:proofErr w:type="spellStart"/>
      <w:r>
        <w:rPr>
          <w:i/>
          <w:szCs w:val="24"/>
          <w:shd w:val="clear" w:color="auto" w:fill="FFFFFF"/>
        </w:rPr>
        <w:t>Planning</w:t>
      </w:r>
      <w:proofErr w:type="spellEnd"/>
      <w:r>
        <w:rPr>
          <w:szCs w:val="24"/>
          <w:shd w:val="clear" w:color="auto" w:fill="FFFFFF"/>
        </w:rPr>
        <w:t>),</w:t>
      </w:r>
      <w:r>
        <w:rPr>
          <w:szCs w:val="24"/>
        </w:rPr>
        <w:t xml:space="preserve"> kai Apraše nustatytais atvejais nereikalaujama naudoti kasos aparatų.</w:t>
      </w:r>
    </w:p>
    <w:p w14:paraId="5922DB5D" w14:textId="77777777" w:rsidR="005E6976" w:rsidRDefault="0082149C">
      <w:pPr>
        <w:ind w:firstLine="567"/>
        <w:jc w:val="both"/>
        <w:rPr>
          <w:szCs w:val="24"/>
        </w:rPr>
      </w:pPr>
      <w:r>
        <w:rPr>
          <w:szCs w:val="24"/>
        </w:rPr>
        <w:t>6. Kasos aparatu suformuotame e. kvite privalo būti visi kasos aparato kvitui privalomi rekvizitai, nurodyti Apraše, bei turi būti taikomi reikalavimai, nustatyti K</w:t>
      </w:r>
      <w:r>
        <w:rPr>
          <w:bCs/>
          <w:color w:val="000000"/>
          <w:szCs w:val="24"/>
          <w:shd w:val="clear" w:color="auto" w:fill="FFFFFF"/>
        </w:rPr>
        <w:t>asos aparatų techninių reikalavimų apraše, patvirtintame</w:t>
      </w:r>
      <w:r>
        <w:rPr>
          <w:b/>
          <w:bCs/>
          <w:color w:val="000000"/>
          <w:szCs w:val="24"/>
          <w:shd w:val="clear" w:color="auto" w:fill="FFFFFF"/>
        </w:rPr>
        <w:t xml:space="preserve"> </w:t>
      </w:r>
      <w:r>
        <w:rPr>
          <w:szCs w:val="24"/>
          <w:shd w:val="clear" w:color="auto" w:fill="FFFFFF"/>
        </w:rPr>
        <w:t>Valstybinės mokesčių inspekcijos prie Lietuvos Respublikos finansų ministerijos viršininko</w:t>
      </w:r>
      <w:r>
        <w:rPr>
          <w:color w:val="333333"/>
          <w:szCs w:val="24"/>
          <w:shd w:val="clear" w:color="auto" w:fill="FFFFFF"/>
        </w:rPr>
        <w:t xml:space="preserve"> </w:t>
      </w:r>
      <w:r>
        <w:rPr>
          <w:color w:val="000000"/>
          <w:szCs w:val="24"/>
          <w:shd w:val="clear" w:color="auto" w:fill="FFFFFF"/>
        </w:rPr>
        <w:t>2022 m. balandžio 27 d. įsakymu Nr. VA-40 „D</w:t>
      </w:r>
      <w:r>
        <w:rPr>
          <w:bCs/>
          <w:color w:val="000000"/>
          <w:szCs w:val="24"/>
          <w:shd w:val="clear" w:color="auto" w:fill="FFFFFF"/>
        </w:rPr>
        <w:t>ėl Kasos aparatų techninių reikalavimų aprašo patvirtinimo“.</w:t>
      </w:r>
    </w:p>
    <w:p w14:paraId="29466909" w14:textId="77777777" w:rsidR="005E6976" w:rsidRDefault="0082149C">
      <w:pPr>
        <w:ind w:firstLine="567"/>
        <w:jc w:val="both"/>
        <w:rPr>
          <w:szCs w:val="24"/>
          <w:lang w:eastAsia="lt-LT"/>
        </w:rPr>
      </w:pPr>
      <w:r>
        <w:rPr>
          <w:szCs w:val="24"/>
        </w:rPr>
        <w:t>7. Kita technine ir (arba) programine įranga (ne kasos aparatu) išduotame e. kvite turi būti nurodyti tokie privalomi rekvizitai</w:t>
      </w:r>
      <w:r>
        <w:rPr>
          <w:szCs w:val="24"/>
          <w:lang w:eastAsia="lt-LT"/>
        </w:rPr>
        <w:t>:</w:t>
      </w:r>
    </w:p>
    <w:p w14:paraId="0D38477A" w14:textId="77777777" w:rsidR="005E6976" w:rsidRDefault="0082149C">
      <w:pPr>
        <w:ind w:firstLine="567"/>
        <w:jc w:val="both"/>
        <w:rPr>
          <w:szCs w:val="24"/>
          <w:lang w:eastAsia="lt-LT"/>
        </w:rPr>
      </w:pPr>
      <w:r>
        <w:rPr>
          <w:szCs w:val="24"/>
          <w:lang w:eastAsia="lt-LT"/>
        </w:rPr>
        <w:t>7.1. e. </w:t>
      </w:r>
      <w:r>
        <w:rPr>
          <w:szCs w:val="24"/>
        </w:rPr>
        <w:t>k</w:t>
      </w:r>
      <w:r>
        <w:rPr>
          <w:szCs w:val="24"/>
          <w:lang w:eastAsia="lt-LT"/>
        </w:rPr>
        <w:t>vito parengimo data ir laikas;</w:t>
      </w:r>
    </w:p>
    <w:p w14:paraId="431AD88E" w14:textId="77777777" w:rsidR="005E6976" w:rsidRDefault="0082149C">
      <w:pPr>
        <w:ind w:firstLine="567"/>
        <w:jc w:val="both"/>
        <w:rPr>
          <w:szCs w:val="24"/>
          <w:lang w:eastAsia="lt-LT"/>
        </w:rPr>
      </w:pPr>
      <w:r>
        <w:rPr>
          <w:szCs w:val="24"/>
          <w:lang w:eastAsia="lt-LT"/>
        </w:rPr>
        <w:t>7.2. e. </w:t>
      </w:r>
      <w:r>
        <w:rPr>
          <w:szCs w:val="24"/>
        </w:rPr>
        <w:t>k</w:t>
      </w:r>
      <w:r>
        <w:rPr>
          <w:szCs w:val="24"/>
          <w:lang w:eastAsia="lt-LT"/>
        </w:rPr>
        <w:t xml:space="preserve">vito numeris arba serija ir numeris, kurie sudaromi nuosekliai </w:t>
      </w:r>
      <w:r>
        <w:rPr>
          <w:szCs w:val="24"/>
          <w:shd w:val="clear" w:color="auto" w:fill="FFFFFF"/>
        </w:rPr>
        <w:t>didėjančia seka</w:t>
      </w:r>
      <w:r>
        <w:rPr>
          <w:szCs w:val="24"/>
          <w:lang w:eastAsia="lt-LT"/>
        </w:rPr>
        <w:t>;</w:t>
      </w:r>
    </w:p>
    <w:p w14:paraId="77F29321" w14:textId="77777777" w:rsidR="005E6976" w:rsidRDefault="0082149C">
      <w:pPr>
        <w:ind w:firstLine="567"/>
        <w:jc w:val="both"/>
        <w:rPr>
          <w:szCs w:val="24"/>
          <w:shd w:val="clear" w:color="auto" w:fill="FFFFFF"/>
        </w:rPr>
      </w:pPr>
      <w:r>
        <w:rPr>
          <w:szCs w:val="24"/>
          <w:lang w:eastAsia="lt-LT"/>
        </w:rPr>
        <w:t xml:space="preserve">7.3. ūkio subjekto, parengusio e. kvitą, pavadinimas, kodas arba vardas, pavardė (jeigu jis – fizinis asmuo), pridėtinės vertės mokesčio (toliau </w:t>
      </w:r>
      <w:r>
        <w:rPr>
          <w:szCs w:val="24"/>
        </w:rPr>
        <w:t xml:space="preserve">– </w:t>
      </w:r>
      <w:r>
        <w:rPr>
          <w:szCs w:val="24"/>
          <w:shd w:val="clear" w:color="auto" w:fill="FFFFFF"/>
        </w:rPr>
        <w:t xml:space="preserve">PVM) mokėtojo kodas, o jeigu jo neturi – kodas ar asmens pasirinkimu: arba </w:t>
      </w:r>
      <w:r>
        <w:t xml:space="preserve">mokesčio mokėtojo </w:t>
      </w:r>
      <w:r>
        <w:rPr>
          <w:szCs w:val="24"/>
          <w:shd w:val="clear" w:color="auto" w:fill="FFFFFF"/>
        </w:rPr>
        <w:t>kodas, arba individualios veiklos vykdymo pažymos numeris, arba verslo liudijimo numeris;</w:t>
      </w:r>
    </w:p>
    <w:p w14:paraId="30034722" w14:textId="77777777" w:rsidR="005E6976" w:rsidRDefault="0082149C">
      <w:pPr>
        <w:ind w:firstLine="567"/>
        <w:jc w:val="both"/>
        <w:rPr>
          <w:szCs w:val="24"/>
        </w:rPr>
      </w:pPr>
      <w:r>
        <w:rPr>
          <w:szCs w:val="24"/>
        </w:rPr>
        <w:t>7.4. prekių (paslaugų) pavadinimas, kiekis, matavimo vienetas, vieneto kaina;</w:t>
      </w:r>
    </w:p>
    <w:p w14:paraId="08CCBDCB" w14:textId="77777777" w:rsidR="005E6976" w:rsidRDefault="0082149C">
      <w:pPr>
        <w:ind w:firstLine="567"/>
        <w:jc w:val="both"/>
        <w:rPr>
          <w:szCs w:val="24"/>
          <w:lang w:eastAsia="lt-LT"/>
        </w:rPr>
      </w:pPr>
      <w:r>
        <w:rPr>
          <w:szCs w:val="24"/>
          <w:lang w:eastAsia="lt-LT"/>
        </w:rPr>
        <w:t>7.5. sumokėta (išmokėta) suma su centais, grąža su centais, nurodoma skaitmenimis.</w:t>
      </w:r>
    </w:p>
    <w:p w14:paraId="3199D170" w14:textId="77777777" w:rsidR="005E6976" w:rsidRDefault="0082149C">
      <w:pPr>
        <w:ind w:firstLine="567"/>
        <w:jc w:val="both"/>
        <w:rPr>
          <w:szCs w:val="24"/>
          <w:lang w:eastAsia="lt-LT"/>
        </w:rPr>
      </w:pPr>
      <w:r>
        <w:rPr>
          <w:szCs w:val="24"/>
          <w:lang w:eastAsia="lt-LT"/>
        </w:rPr>
        <w:t>8. E. kvite, be Taisyklių 6</w:t>
      </w:r>
      <w:r>
        <w:t>–</w:t>
      </w:r>
      <w:r>
        <w:rPr>
          <w:szCs w:val="24"/>
          <w:lang w:eastAsia="lt-LT"/>
        </w:rPr>
        <w:t>7 punktuose nurodytos privalomos informacijos, gali būti nurodoma ir kita papildoma informacija.</w:t>
      </w:r>
    </w:p>
    <w:p w14:paraId="75049478" w14:textId="77777777" w:rsidR="005E6976" w:rsidRDefault="0082149C">
      <w:pPr>
        <w:ind w:firstLine="567"/>
        <w:jc w:val="both"/>
      </w:pPr>
      <w:r>
        <w:t xml:space="preserve">9. Tuo atveju, kai e. kvitas yra laikomas Taisyklių 10.1–10.7 papunkčiuose nurodytu dokumentu, be Taisyklių 6 arba 7 punkte pateiktos informacijos, papildomai turi būti įrašoma pasirinktam dokumentui privaloma informacija. Pavyzdžiui, jeigu e. kvitas, laikomas PVM sąskaita faktūra, yra įformintas kasos aparatu, tai tuo pačiu jis bus laikomas ir apmokėjimo už prekes (paslaugas) patvirtinimu. </w:t>
      </w:r>
    </w:p>
    <w:p w14:paraId="4BC0B72E" w14:textId="77777777" w:rsidR="005E6976" w:rsidRDefault="0082149C">
      <w:pPr>
        <w:ind w:firstLine="567"/>
        <w:jc w:val="both"/>
        <w:rPr>
          <w:szCs w:val="24"/>
        </w:rPr>
      </w:pPr>
      <w:r>
        <w:rPr>
          <w:szCs w:val="24"/>
        </w:rPr>
        <w:t>10. E. kvitas gali būti pateikiamas identifikuotam ir neidentifikuotam pirkėjui ir būti laikomas elektroniniu:</w:t>
      </w:r>
    </w:p>
    <w:p w14:paraId="3B4035A8" w14:textId="77777777" w:rsidR="005E6976" w:rsidRDefault="0082149C">
      <w:pPr>
        <w:ind w:firstLine="567"/>
        <w:jc w:val="both"/>
        <w:rPr>
          <w:szCs w:val="24"/>
        </w:rPr>
      </w:pPr>
      <w:r>
        <w:rPr>
          <w:szCs w:val="24"/>
        </w:rPr>
        <w:t>10.1. pinigų priėmimo kvitu, kuriame nurodyta visa privaloma pinigų priėmimo kvito informacija, nustatyta</w:t>
      </w:r>
      <w:r>
        <w:rPr>
          <w:szCs w:val="24"/>
          <w:shd w:val="clear" w:color="auto" w:fill="FFFFFF"/>
        </w:rPr>
        <w:t xml:space="preserve"> Pinigų priėmimo ir pinigų išmokėjimo kvitų naudojimo, išrašymo ir apskaitos taisyklėse, patvirtintose Valstybinės mokesčių inspekcijos prie Lietuvos Respublikos finansų ministerijos viršininko 2019 m. gegužės 10 įsakymu Nr. VA-39 „</w:t>
      </w:r>
      <w:r>
        <w:rPr>
          <w:szCs w:val="24"/>
        </w:rPr>
        <w:t>Dėl Pinigų priėmimo ir pinigų išmokėjimo kvitų naudojimo, išrašymo ir apskaitos taisyklių ir Bilietų naudojimo ir apskaitos taisyklių patvirtinimo</w:t>
      </w:r>
      <w:r>
        <w:rPr>
          <w:szCs w:val="24"/>
          <w:shd w:val="clear" w:color="auto" w:fill="FFFFFF"/>
        </w:rPr>
        <w:t>“ (toliau – Pinigų priėmimo ir išmokėjimo taisyklės)</w:t>
      </w:r>
      <w:r>
        <w:rPr>
          <w:szCs w:val="24"/>
        </w:rPr>
        <w:t xml:space="preserve">; </w:t>
      </w:r>
    </w:p>
    <w:p w14:paraId="29572E9F" w14:textId="77777777" w:rsidR="005E6976" w:rsidRDefault="0082149C">
      <w:pPr>
        <w:ind w:firstLine="567"/>
        <w:jc w:val="both"/>
        <w:rPr>
          <w:szCs w:val="24"/>
        </w:rPr>
      </w:pPr>
      <w:r>
        <w:rPr>
          <w:szCs w:val="24"/>
        </w:rPr>
        <w:lastRenderedPageBreak/>
        <w:t>10.2. pinigų išmokėjimo kvitu, kuriame yra visa privaloma pinigų išmokėjimo kvito informacija, nustatyta</w:t>
      </w:r>
      <w:r>
        <w:rPr>
          <w:color w:val="333333"/>
          <w:szCs w:val="24"/>
          <w:shd w:val="clear" w:color="auto" w:fill="FFFFFF"/>
        </w:rPr>
        <w:t xml:space="preserve"> </w:t>
      </w:r>
      <w:r>
        <w:rPr>
          <w:szCs w:val="24"/>
          <w:shd w:val="clear" w:color="auto" w:fill="FFFFFF"/>
        </w:rPr>
        <w:t>Pinigų priėmimo ir išmokėjimo taisyklėse</w:t>
      </w:r>
      <w:r>
        <w:rPr>
          <w:szCs w:val="24"/>
        </w:rPr>
        <w:t>;</w:t>
      </w:r>
    </w:p>
    <w:p w14:paraId="10A45345" w14:textId="77777777" w:rsidR="005E6976" w:rsidRDefault="0082149C">
      <w:pPr>
        <w:ind w:firstLine="567"/>
        <w:jc w:val="both"/>
        <w:rPr>
          <w:szCs w:val="24"/>
        </w:rPr>
      </w:pPr>
      <w:r>
        <w:rPr>
          <w:szCs w:val="24"/>
        </w:rPr>
        <w:t xml:space="preserve">10.3. </w:t>
      </w:r>
      <w:r>
        <w:t>finansinės apskaitos dokumentu, kuriuo pagrindžiama grynaisiais pinigais atliekama ūkinė operacija</w:t>
      </w:r>
      <w:r>
        <w:rPr>
          <w:szCs w:val="24"/>
        </w:rPr>
        <w:t xml:space="preserve"> ir</w:t>
      </w:r>
      <w:r>
        <w:rPr>
          <w:iCs/>
          <w:szCs w:val="24"/>
        </w:rPr>
        <w:t xml:space="preserve"> kuriame yra nurodyta </w:t>
      </w:r>
      <w:proofErr w:type="spellStart"/>
      <w:r>
        <w:rPr>
          <w:iCs/>
          <w:szCs w:val="24"/>
        </w:rPr>
        <w:t>FAĮ</w:t>
      </w:r>
      <w:proofErr w:type="spellEnd"/>
      <w:r>
        <w:rPr>
          <w:iCs/>
          <w:szCs w:val="24"/>
        </w:rPr>
        <w:t xml:space="preserve"> nustatyta informacija;</w:t>
      </w:r>
    </w:p>
    <w:p w14:paraId="0B1B38D0" w14:textId="77777777" w:rsidR="005E6976" w:rsidRDefault="0082149C">
      <w:pPr>
        <w:shd w:val="clear" w:color="auto" w:fill="FFFFFF"/>
        <w:ind w:firstLine="567"/>
        <w:jc w:val="both"/>
        <w:rPr>
          <w:szCs w:val="24"/>
          <w:lang w:eastAsia="lt-LT"/>
        </w:rPr>
      </w:pPr>
      <w:r>
        <w:rPr>
          <w:szCs w:val="24"/>
          <w:lang w:eastAsia="lt-LT"/>
        </w:rPr>
        <w:t xml:space="preserve">10.4. PVM sąskaita faktūra, </w:t>
      </w:r>
      <w:r>
        <w:rPr>
          <w:spacing w:val="5"/>
          <w:szCs w:val="24"/>
          <w:lang w:eastAsia="lt-LT"/>
        </w:rPr>
        <w:t>kurioje yra nurodyt</w:t>
      </w:r>
      <w:r>
        <w:rPr>
          <w:szCs w:val="24"/>
          <w:lang w:eastAsia="lt-LT"/>
        </w:rPr>
        <w:t>a</w:t>
      </w:r>
      <w:r>
        <w:rPr>
          <w:spacing w:val="5"/>
          <w:szCs w:val="24"/>
          <w:lang w:eastAsia="lt-LT"/>
        </w:rPr>
        <w:t xml:space="preserve"> PVM įstatyme nustatyt</w:t>
      </w:r>
      <w:r>
        <w:rPr>
          <w:szCs w:val="24"/>
          <w:lang w:eastAsia="lt-LT"/>
        </w:rPr>
        <w:t>a</w:t>
      </w:r>
      <w:r>
        <w:rPr>
          <w:spacing w:val="5"/>
          <w:szCs w:val="24"/>
          <w:lang w:eastAsia="lt-LT"/>
        </w:rPr>
        <w:t xml:space="preserve"> PVM sąskaitai faktūrai privalom</w:t>
      </w:r>
      <w:r>
        <w:rPr>
          <w:szCs w:val="24"/>
          <w:lang w:eastAsia="lt-LT"/>
        </w:rPr>
        <w:t xml:space="preserve">a informacija, įskaitant jos kilmės autentiškumą, turinio vientisumą ir įskaitomumą, ir kurios duomenys, vadovaujantis </w:t>
      </w:r>
      <w:r>
        <w:rPr>
          <w:szCs w:val="24"/>
          <w:shd w:val="clear" w:color="auto" w:fill="FFFFFF"/>
          <w:lang w:eastAsia="lt-LT"/>
        </w:rPr>
        <w:t xml:space="preserve">Pridėtinės vertės mokesčio sąskaitų faktūrų registrų duomenų tvarkymo ir pateikimo taisyklių, patvirtintų </w:t>
      </w:r>
      <w:r>
        <w:rPr>
          <w:szCs w:val="24"/>
          <w:lang w:eastAsia="lt-LT"/>
        </w:rPr>
        <w:t xml:space="preserve">Valstybinės mokesčių inspekcijos prie Lietuvos Respublikos finansų ministerijos viršininko 2004 m. balandžio 21 d. įsakymu Nr. VA-55 </w:t>
      </w:r>
      <w:hyperlink r:id="rId16" w:history="1">
        <w:r>
          <w:rPr>
            <w:szCs w:val="24"/>
            <w:lang w:eastAsia="lt-LT"/>
          </w:rPr>
          <w:t>„Dėl Pridėtinės vertės mokesčio sąskaitų faktūrų registrų duomenų tvarkymo ir pateikimo taisyklių patvirtinimo“</w:t>
        </w:r>
      </w:hyperlink>
      <w:r>
        <w:rPr>
          <w:szCs w:val="24"/>
          <w:lang w:eastAsia="lt-LT"/>
        </w:rPr>
        <w:t xml:space="preserve">, nustatyta tvarka, turi būti registruojami </w:t>
      </w:r>
      <w:r>
        <w:rPr>
          <w:color w:val="000000"/>
          <w:szCs w:val="24"/>
          <w:shd w:val="clear" w:color="auto" w:fill="FFFFFF"/>
          <w:lang w:eastAsia="lt-LT"/>
        </w:rPr>
        <w:t xml:space="preserve">gaunamų ir išrašomų PVM sąskaitų faktūrų registruose ir teikiami į </w:t>
      </w:r>
      <w:r>
        <w:rPr>
          <w:szCs w:val="24"/>
          <w:shd w:val="clear" w:color="auto" w:fill="FFFFFF"/>
          <w:lang w:eastAsia="lt-LT"/>
        </w:rPr>
        <w:t xml:space="preserve">Išmaniosios mokesčių administravimo informacinės sistemos </w:t>
      </w:r>
      <w:r w:rsidRPr="0082149C">
        <w:rPr>
          <w:szCs w:val="24"/>
          <w:shd w:val="clear" w:color="auto" w:fill="FFFFFF"/>
          <w:lang w:eastAsia="lt-LT"/>
        </w:rPr>
        <w:t>(</w:t>
      </w:r>
      <w:r>
        <w:rPr>
          <w:szCs w:val="24"/>
          <w:shd w:val="clear" w:color="auto" w:fill="FFFFFF"/>
          <w:lang w:eastAsia="lt-LT"/>
        </w:rPr>
        <w:t xml:space="preserve">toliau </w:t>
      </w:r>
      <w:r>
        <w:rPr>
          <w:bCs/>
          <w:szCs w:val="24"/>
          <w:shd w:val="clear" w:color="auto" w:fill="FFFFFF"/>
          <w:lang w:eastAsia="lt-LT"/>
        </w:rPr>
        <w:t>–</w:t>
      </w:r>
      <w:r>
        <w:rPr>
          <w:szCs w:val="24"/>
          <w:shd w:val="clear" w:color="auto" w:fill="FFFFFF"/>
          <w:lang w:eastAsia="lt-LT"/>
        </w:rPr>
        <w:t xml:space="preserve"> i. </w:t>
      </w:r>
      <w:proofErr w:type="spellStart"/>
      <w:r>
        <w:rPr>
          <w:szCs w:val="24"/>
          <w:shd w:val="clear" w:color="auto" w:fill="FFFFFF"/>
          <w:lang w:eastAsia="lt-LT"/>
        </w:rPr>
        <w:t>MAS</w:t>
      </w:r>
      <w:proofErr w:type="spellEnd"/>
      <w:r>
        <w:rPr>
          <w:szCs w:val="24"/>
          <w:shd w:val="clear" w:color="auto" w:fill="FFFFFF"/>
          <w:lang w:eastAsia="lt-LT"/>
        </w:rPr>
        <w:t>) Elektroninį sąskaitų faktūrų posistemį, per kurį teikiami registrų duomenys, teikiamos elektroninės paslaugos</w:t>
      </w:r>
      <w:r>
        <w:rPr>
          <w:szCs w:val="24"/>
          <w:lang w:eastAsia="lt-LT"/>
        </w:rPr>
        <w:t>;</w:t>
      </w:r>
    </w:p>
    <w:p w14:paraId="2E5F46A0" w14:textId="77777777" w:rsidR="005E6976" w:rsidRDefault="0082149C">
      <w:pPr>
        <w:ind w:firstLine="567"/>
        <w:jc w:val="both"/>
        <w:rPr>
          <w:szCs w:val="24"/>
        </w:rPr>
      </w:pPr>
      <w:r>
        <w:rPr>
          <w:szCs w:val="24"/>
        </w:rPr>
        <w:t xml:space="preserve">10.5. sąskaita faktūra, kurioje yra nurodyta </w:t>
      </w:r>
      <w:proofErr w:type="spellStart"/>
      <w:r>
        <w:rPr>
          <w:szCs w:val="24"/>
        </w:rPr>
        <w:t>FAĮ</w:t>
      </w:r>
      <w:proofErr w:type="spellEnd"/>
      <w:r>
        <w:rPr>
          <w:szCs w:val="24"/>
        </w:rPr>
        <w:t xml:space="preserve"> privaloma informacija ir papildoma informacija, nustatyta </w:t>
      </w:r>
      <w:r>
        <w:rPr>
          <w:szCs w:val="24"/>
          <w:lang w:eastAsia="lt-LT"/>
        </w:rPr>
        <w:t xml:space="preserve">Mokesčiams apskaičiuoti naudojamų dokumentų taisyklėse, </w:t>
      </w:r>
      <w:r>
        <w:rPr>
          <w:bCs/>
          <w:szCs w:val="24"/>
          <w:shd w:val="clear" w:color="auto" w:fill="FFFFFF"/>
        </w:rPr>
        <w:t xml:space="preserve">o kai sąskaitą faktūrą išrašo gyventojas, vykdantis individualią veiklą pagal pažymą, tam tikrais atvejais turi būti nurodyti ir papildomi sąskaitos faktūros rekvizitai, kurie nustatyti Gyventojų, besiverčiančių individualia veikla (išskyrus gyventojus, įsigijusius verslo liudijimus), buhalterinės apskaitos taisyklėse, patvirtintose Lietuvos Respublikos finansų ministro 2003 m. vasario 17 d. įsakymu Nr. </w:t>
      </w:r>
      <w:proofErr w:type="spellStart"/>
      <w:r>
        <w:rPr>
          <w:bCs/>
          <w:szCs w:val="24"/>
          <w:shd w:val="clear" w:color="auto" w:fill="FFFFFF"/>
        </w:rPr>
        <w:t>1K</w:t>
      </w:r>
      <w:proofErr w:type="spellEnd"/>
      <w:r>
        <w:rPr>
          <w:bCs/>
          <w:szCs w:val="24"/>
          <w:shd w:val="clear" w:color="auto" w:fill="FFFFFF"/>
        </w:rPr>
        <w:t>-040 „D</w:t>
      </w:r>
      <w:r>
        <w:rPr>
          <w:bCs/>
        </w:rPr>
        <w:t>ėl Gyventojų, besiverčiančių individualia veikla (išskyrus gyventojus, įsigijusius verslo liudijimus), buhalterinės apskaitos taisyklių patvirtinimo</w:t>
      </w:r>
      <w:r>
        <w:rPr>
          <w:bCs/>
          <w:color w:val="000000"/>
        </w:rPr>
        <w:t>“</w:t>
      </w:r>
      <w:r>
        <w:rPr>
          <w:szCs w:val="24"/>
        </w:rPr>
        <w:t>;</w:t>
      </w:r>
    </w:p>
    <w:p w14:paraId="18253168" w14:textId="77777777" w:rsidR="005E6976" w:rsidRDefault="0082149C">
      <w:pPr>
        <w:ind w:firstLine="567"/>
        <w:jc w:val="both"/>
        <w:rPr>
          <w:bCs/>
          <w:szCs w:val="24"/>
          <w:shd w:val="clear" w:color="auto" w:fill="FFFFFF"/>
        </w:rPr>
      </w:pPr>
      <w:r>
        <w:rPr>
          <w:szCs w:val="24"/>
        </w:rPr>
        <w:t>10.6. p</w:t>
      </w:r>
      <w:r>
        <w:rPr>
          <w:bCs/>
          <w:szCs w:val="24"/>
          <w:shd w:val="clear" w:color="auto" w:fill="FFFFFF"/>
        </w:rPr>
        <w:t xml:space="preserve">rekių (paslaugų) pirkimo–pardavimo kvitu, kuriame yra nurodyti visi privalomi duomenys, nustatyti Prekių (paslaugų) pirkimo–pardavimo kvito </w:t>
      </w:r>
      <w:proofErr w:type="spellStart"/>
      <w:r>
        <w:rPr>
          <w:bCs/>
          <w:szCs w:val="24"/>
          <w:shd w:val="clear" w:color="auto" w:fill="FFFFFF"/>
        </w:rPr>
        <w:t>FR0508</w:t>
      </w:r>
      <w:proofErr w:type="spellEnd"/>
      <w:r>
        <w:rPr>
          <w:bCs/>
          <w:szCs w:val="24"/>
          <w:shd w:val="clear" w:color="auto" w:fill="FFFFFF"/>
        </w:rPr>
        <w:t xml:space="preserve"> formos pildymo taisyklėse, patvirtintose Valstybinės mokesčių inspekcijos prie Lietuvos Respublikos finansų ministerijos viršininko 2002 m. gruodžio 31 d. įsakymu Nr. 379 „</w:t>
      </w:r>
      <w:hyperlink r:id="rId17" w:history="1">
        <w:r>
          <w:rPr>
            <w:bCs/>
            <w:szCs w:val="24"/>
            <w:shd w:val="clear" w:color="auto" w:fill="FFFFFF"/>
          </w:rPr>
          <w:t>Dėl Prekių (paslaugų) pirkimo–pardavimo kvito formos bei šių kvitų pildymo taisyklių patvirtinimo</w:t>
        </w:r>
      </w:hyperlink>
      <w:r>
        <w:rPr>
          <w:bCs/>
          <w:szCs w:val="24"/>
          <w:shd w:val="clear" w:color="auto" w:fill="FFFFFF"/>
        </w:rPr>
        <w:t>“;</w:t>
      </w:r>
    </w:p>
    <w:p w14:paraId="65E52EFB" w14:textId="77777777" w:rsidR="005E6976" w:rsidRDefault="0082149C">
      <w:pPr>
        <w:ind w:firstLine="567"/>
        <w:jc w:val="both"/>
        <w:rPr>
          <w:szCs w:val="24"/>
        </w:rPr>
      </w:pPr>
      <w:r>
        <w:rPr>
          <w:szCs w:val="24"/>
        </w:rPr>
        <w:t xml:space="preserve">10.7. bilietu, kuriame nurodyta visa privaloma bilieto informacija, nustatyta </w:t>
      </w:r>
      <w:r>
        <w:rPr>
          <w:szCs w:val="24"/>
          <w:shd w:val="clear" w:color="auto" w:fill="FFFFFF"/>
        </w:rPr>
        <w:t>Bilietų naudojimo ir apskaitos taisyklėse, patvirtintose Valstybinės mokesčių inspekcijos prie Lietuvos Respublikos finansų ministerijos viršininko 2019 m. gegužės 10 įsakymu Nr. VA-39 „</w:t>
      </w:r>
      <w:hyperlink r:id="rId18" w:tgtFrame="_blank" w:history="1">
        <w:r>
          <w:rPr>
            <w:szCs w:val="24"/>
          </w:rPr>
          <w:t>Dėl Pinigų priėmimo ir pinigų išmokėjimo kvitų naudojimo, išrašymo ir apskaitos taisyklių ir Bilietų naudojimo ir apskaitos taisyklių patvirtinimo</w:t>
        </w:r>
      </w:hyperlink>
      <w:r>
        <w:rPr>
          <w:szCs w:val="24"/>
        </w:rPr>
        <w:t>“.</w:t>
      </w:r>
    </w:p>
    <w:p w14:paraId="244848F9" w14:textId="77777777" w:rsidR="005E6976" w:rsidRDefault="0082149C">
      <w:pPr>
        <w:ind w:firstLine="567"/>
        <w:jc w:val="both"/>
        <w:rPr>
          <w:szCs w:val="24"/>
        </w:rPr>
      </w:pPr>
      <w:r>
        <w:rPr>
          <w:szCs w:val="24"/>
        </w:rPr>
        <w:t>11. E. kvitas pirkėjui suformuojamas nedelsiant, įvykus ūkinei operacijai, ir tik esant abiejų sandorio šalių bet kokios formos išankstiniam susitarimui ir pagal pirkėjo nurodytą šalių susitarimu naudojamą pirkėjo atpažinimo elementą.</w:t>
      </w:r>
    </w:p>
    <w:p w14:paraId="0424409E" w14:textId="77777777" w:rsidR="005E6976" w:rsidRDefault="0082149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Arial Unicode MS"/>
        </w:rPr>
      </w:pPr>
      <w:r>
        <w:rPr>
          <w:szCs w:val="24"/>
        </w:rPr>
        <w:t>12. Suformuotas e. kvitas pirkėjui pateikiamas dviem formatais:</w:t>
      </w:r>
    </w:p>
    <w:p w14:paraId="7DCF9DCC" w14:textId="77777777" w:rsidR="005E6976" w:rsidRDefault="0082149C">
      <w:pPr>
        <w:ind w:firstLine="567"/>
        <w:jc w:val="both"/>
        <w:rPr>
          <w:rFonts w:ascii="Trebuchet MS" w:hAnsi="Trebuchet MS"/>
          <w:color w:val="000000"/>
          <w:sz w:val="22"/>
          <w:szCs w:val="22"/>
        </w:rPr>
      </w:pPr>
      <w:r>
        <w:rPr>
          <w:szCs w:val="24"/>
        </w:rPr>
        <w:t xml:space="preserve">12.1. originaliu struktūrizuotu formatu (pvz., </w:t>
      </w:r>
      <w:proofErr w:type="spellStart"/>
      <w:r>
        <w:rPr>
          <w:szCs w:val="24"/>
        </w:rPr>
        <w:t>xml</w:t>
      </w:r>
      <w:proofErr w:type="spellEnd"/>
      <w:r>
        <w:rPr>
          <w:szCs w:val="24"/>
        </w:rPr>
        <w:t xml:space="preserve">, </w:t>
      </w:r>
      <w:proofErr w:type="spellStart"/>
      <w:r>
        <w:rPr>
          <w:szCs w:val="24"/>
        </w:rPr>
        <w:t>xsd</w:t>
      </w:r>
      <w:proofErr w:type="spellEnd"/>
      <w:r>
        <w:rPr>
          <w:szCs w:val="24"/>
        </w:rPr>
        <w:t xml:space="preserve"> ir kt.);</w:t>
      </w:r>
    </w:p>
    <w:p w14:paraId="20E5A85A" w14:textId="77777777" w:rsidR="005E6976" w:rsidRDefault="0082149C">
      <w:pPr>
        <w:ind w:firstLine="567"/>
        <w:jc w:val="both"/>
        <w:rPr>
          <w:szCs w:val="24"/>
        </w:rPr>
      </w:pPr>
      <w:r>
        <w:rPr>
          <w:szCs w:val="24"/>
        </w:rPr>
        <w:t xml:space="preserve">12.2. pirkėjui perskaitomu formatu (pvz., </w:t>
      </w:r>
      <w:proofErr w:type="spellStart"/>
      <w:r>
        <w:rPr>
          <w:szCs w:val="24"/>
        </w:rPr>
        <w:t>pdf</w:t>
      </w:r>
      <w:proofErr w:type="spellEnd"/>
      <w:r>
        <w:rPr>
          <w:szCs w:val="24"/>
        </w:rPr>
        <w:t xml:space="preserve">, </w:t>
      </w:r>
      <w:proofErr w:type="spellStart"/>
      <w:r>
        <w:rPr>
          <w:color w:val="000000"/>
          <w:szCs w:val="24"/>
        </w:rPr>
        <w:t>xlsx</w:t>
      </w:r>
      <w:proofErr w:type="spellEnd"/>
      <w:r>
        <w:rPr>
          <w:color w:val="000000"/>
          <w:szCs w:val="24"/>
        </w:rPr>
        <w:t xml:space="preserve">, </w:t>
      </w:r>
      <w:proofErr w:type="spellStart"/>
      <w:r>
        <w:rPr>
          <w:color w:val="000000"/>
          <w:szCs w:val="24"/>
        </w:rPr>
        <w:t>html</w:t>
      </w:r>
      <w:proofErr w:type="spellEnd"/>
      <w:r>
        <w:rPr>
          <w:color w:val="000000"/>
          <w:szCs w:val="24"/>
        </w:rPr>
        <w:t xml:space="preserve"> ir kt.</w:t>
      </w:r>
      <w:r>
        <w:rPr>
          <w:szCs w:val="24"/>
        </w:rPr>
        <w:t>).</w:t>
      </w:r>
    </w:p>
    <w:p w14:paraId="2578474F" w14:textId="77777777" w:rsidR="005E6976" w:rsidRDefault="0082149C">
      <w:pPr>
        <w:ind w:firstLine="567"/>
        <w:jc w:val="both"/>
        <w:rPr>
          <w:szCs w:val="24"/>
          <w:shd w:val="clear" w:color="auto" w:fill="FFFFFF"/>
        </w:rPr>
      </w:pPr>
      <w:r>
        <w:rPr>
          <w:szCs w:val="24"/>
        </w:rPr>
        <w:t>13. Tuo atveju, kai išduotas e. kvitas laikomas PVM sąskaita faktūra ar sąskaita faktūra, nurodyta Taisyklių 10.4</w:t>
      </w:r>
      <w:r>
        <w:rPr>
          <w:bCs/>
          <w:szCs w:val="24"/>
          <w:shd w:val="clear" w:color="auto" w:fill="FFFFFF"/>
        </w:rPr>
        <w:t>–</w:t>
      </w:r>
      <w:r>
        <w:rPr>
          <w:szCs w:val="24"/>
        </w:rPr>
        <w:t xml:space="preserve">10.5 papunkčiuose, </w:t>
      </w:r>
      <w:r>
        <w:rPr>
          <w:szCs w:val="24"/>
          <w:shd w:val="clear" w:color="auto" w:fill="FFFFFF"/>
        </w:rPr>
        <w:t>pirkėjui pareikalavus, papildomai PVM sąskaita faktūra ar sąskaita faktūra neteikiama.</w:t>
      </w:r>
    </w:p>
    <w:p w14:paraId="12546789" w14:textId="77777777" w:rsidR="005E6976" w:rsidRDefault="0082149C">
      <w:pPr>
        <w:ind w:firstLine="567"/>
        <w:jc w:val="both"/>
        <w:rPr>
          <w:szCs w:val="24"/>
        </w:rPr>
      </w:pPr>
      <w:r>
        <w:rPr>
          <w:szCs w:val="24"/>
        </w:rPr>
        <w:t xml:space="preserve">14. Pirkėjui informavus pardavėją, kad dėl techninių priežasčių e. kvitas nebuvo gautas, jam pareikalavus, e. kvitą pateikiantis asmuo turi papildomai pirkėjui pateikti e. kvito kopiją (popierinę ar elektroninę). </w:t>
      </w:r>
    </w:p>
    <w:p w14:paraId="4B14B156" w14:textId="77777777" w:rsidR="005E6976" w:rsidRDefault="0082149C">
      <w:pPr>
        <w:ind w:firstLine="567"/>
        <w:jc w:val="both"/>
        <w:rPr>
          <w:szCs w:val="24"/>
        </w:rPr>
      </w:pPr>
      <w:r>
        <w:rPr>
          <w:szCs w:val="24"/>
        </w:rPr>
        <w:t>15. Kasos aparatų, kurie veikia (tiekia prekę ir (arba) suteikia paslaugą, ir (arba) registruoja įplaukas) be kasininko ar kito darbuotojo (savitarnos kasos aparatai), e. kvitas pateikiamas elektroniniu būdu, jei pirkėjas ir pardavėjas turi išankstinį susitarimą (nurodytą Taisyklių 11 punkte) dėl e. kvitų siuntimo.</w:t>
      </w:r>
    </w:p>
    <w:p w14:paraId="73E3FD6A" w14:textId="77777777" w:rsidR="005E6976" w:rsidRDefault="0082149C">
      <w:pPr>
        <w:ind w:firstLine="567"/>
        <w:jc w:val="both"/>
        <w:rPr>
          <w:szCs w:val="24"/>
          <w:lang w:eastAsia="lt-LT"/>
        </w:rPr>
      </w:pPr>
      <w:r>
        <w:rPr>
          <w:szCs w:val="24"/>
        </w:rPr>
        <w:t xml:space="preserve">16. Pardavėjas turi užtikrinti e. kvito kilmės </w:t>
      </w:r>
      <w:r>
        <w:rPr>
          <w:szCs w:val="24"/>
          <w:lang w:eastAsia="lt-LT"/>
        </w:rPr>
        <w:t>autentiškumą, turinio vientisumą ir įskaitomumą.</w:t>
      </w:r>
      <w:r>
        <w:rPr>
          <w:szCs w:val="24"/>
        </w:rPr>
        <w:t xml:space="preserve"> E. kvito kilmės autentiškumu laikomas pardavėjo </w:t>
      </w:r>
      <w:r>
        <w:rPr>
          <w:szCs w:val="24"/>
          <w:lang w:eastAsia="lt-LT"/>
        </w:rPr>
        <w:t>tapatybės tikrumas</w:t>
      </w:r>
      <w:r>
        <w:rPr>
          <w:szCs w:val="24"/>
        </w:rPr>
        <w:t xml:space="preserve">, turinio vientisumu </w:t>
      </w:r>
      <w:r>
        <w:rPr>
          <w:bCs/>
          <w:szCs w:val="24"/>
          <w:shd w:val="clear" w:color="auto" w:fill="FFFFFF"/>
        </w:rPr>
        <w:t>–</w:t>
      </w:r>
      <w:r>
        <w:rPr>
          <w:szCs w:val="24"/>
        </w:rPr>
        <w:t xml:space="preserve"> </w:t>
      </w:r>
      <w:r>
        <w:rPr>
          <w:szCs w:val="24"/>
          <w:lang w:eastAsia="lt-LT"/>
        </w:rPr>
        <w:t xml:space="preserve">duomenų keitimo (išskyrus techninių klaidų taisymą) nebuvimas. </w:t>
      </w:r>
      <w:r>
        <w:rPr>
          <w:szCs w:val="24"/>
        </w:rPr>
        <w:t xml:space="preserve">E. kvito </w:t>
      </w:r>
      <w:r>
        <w:rPr>
          <w:szCs w:val="24"/>
          <w:lang w:eastAsia="lt-LT"/>
        </w:rPr>
        <w:t>įskaitomumas reiškia, kad e.</w:t>
      </w:r>
      <w:r>
        <w:rPr>
          <w:szCs w:val="24"/>
        </w:rPr>
        <w:t xml:space="preserve"> kvitas </w:t>
      </w:r>
      <w:r>
        <w:rPr>
          <w:szCs w:val="24"/>
          <w:lang w:eastAsia="lt-LT"/>
        </w:rPr>
        <w:lastRenderedPageBreak/>
        <w:t xml:space="preserve">yra įskaitomas (perskaitomas) ir pateiktas taip, kad visą jo turinį galima aiškiai įskaityti be papildomo interpretavimo ar nagrinėjimo. </w:t>
      </w:r>
      <w:r>
        <w:rPr>
          <w:rFonts w:eastAsia="Arial Unicode MS"/>
        </w:rPr>
        <w:t xml:space="preserve">Pavyzdžiui, laikoma, kad apsikeitimo elektroniniais duomenimis priemonių pranešimų, </w:t>
      </w:r>
      <w:proofErr w:type="spellStart"/>
      <w:r>
        <w:rPr>
          <w:rFonts w:eastAsia="Arial Unicode MS"/>
        </w:rPr>
        <w:t>XML</w:t>
      </w:r>
      <w:proofErr w:type="spellEnd"/>
      <w:r>
        <w:rPr>
          <w:rFonts w:eastAsia="Arial Unicode MS"/>
        </w:rPr>
        <w:t xml:space="preserve"> pranešimų ir kitų struktūrinių pranešimų originaliu formatu perskaityti žmogus negali (po konvertavimo proceso gali būti laikoma, kad jie yra žmogui perskaitomi).</w:t>
      </w:r>
    </w:p>
    <w:p w14:paraId="0C7DCF29" w14:textId="77777777" w:rsidR="005E6976" w:rsidRDefault="0082149C">
      <w:pPr>
        <w:shd w:val="clear" w:color="auto" w:fill="FFFFFF"/>
        <w:ind w:firstLine="567"/>
        <w:jc w:val="both"/>
        <w:rPr>
          <w:szCs w:val="24"/>
          <w:lang w:eastAsia="lt-LT"/>
        </w:rPr>
      </w:pPr>
      <w:r>
        <w:rPr>
          <w:szCs w:val="24"/>
        </w:rPr>
        <w:t xml:space="preserve">17. E. kvito </w:t>
      </w:r>
      <w:r>
        <w:rPr>
          <w:szCs w:val="24"/>
          <w:lang w:eastAsia="lt-LT"/>
        </w:rPr>
        <w:t>kilmės autentiškumas ir turinio vientisumas užtikrinami bent vienu iš šių būdų:</w:t>
      </w:r>
    </w:p>
    <w:p w14:paraId="518110EA" w14:textId="77777777" w:rsidR="005E6976" w:rsidRDefault="0082149C">
      <w:pPr>
        <w:shd w:val="clear" w:color="auto" w:fill="FFFFFF"/>
        <w:ind w:firstLine="567"/>
        <w:jc w:val="both"/>
        <w:rPr>
          <w:bCs/>
          <w:color w:val="333333"/>
          <w:szCs w:val="24"/>
          <w:shd w:val="clear" w:color="auto" w:fill="FFFFFF"/>
        </w:rPr>
      </w:pPr>
      <w:r>
        <w:rPr>
          <w:szCs w:val="24"/>
          <w:lang w:eastAsia="lt-LT"/>
        </w:rPr>
        <w:t xml:space="preserve">17.1. naudojant saugų elektroninį parašą ar elektroninį spaudą, kaip nustatyta </w:t>
      </w:r>
      <w:r>
        <w:rPr>
          <w:bCs/>
          <w:szCs w:val="24"/>
          <w:shd w:val="clear" w:color="auto" w:fill="FFFFFF"/>
        </w:rPr>
        <w:t>Lietuvos Respublikos elektroninės atpažinties ir elektroninių operacijų patikimumo užtikrinimo paslaugų įstatyme;</w:t>
      </w:r>
    </w:p>
    <w:p w14:paraId="5F72C39D" w14:textId="77777777" w:rsidR="005E6976" w:rsidRDefault="0082149C">
      <w:pPr>
        <w:ind w:firstLine="567"/>
        <w:jc w:val="both"/>
        <w:rPr>
          <w:sz w:val="22"/>
          <w:lang w:eastAsia="lt-LT"/>
        </w:rPr>
      </w:pPr>
      <w:r>
        <w:rPr>
          <w:lang w:eastAsia="lt-LT"/>
        </w:rPr>
        <w:t xml:space="preserve">17.2. naudojantis Valstybinės mokesčių inspekcijos prie Lietuvos Respublikos finansų ministerijos teikiamomis e. kvito išrašymo, perdavimo, gavimo paslaugomis per i. </w:t>
      </w:r>
      <w:proofErr w:type="spellStart"/>
      <w:r>
        <w:rPr>
          <w:lang w:eastAsia="lt-LT"/>
        </w:rPr>
        <w:t>MAS</w:t>
      </w:r>
      <w:proofErr w:type="spellEnd"/>
      <w:r>
        <w:rPr>
          <w:lang w:eastAsia="lt-LT"/>
        </w:rPr>
        <w:t xml:space="preserve"> Nuotolinių apskaitos paslaugų smulkiajam verslui posistemį (i. </w:t>
      </w:r>
      <w:proofErr w:type="spellStart"/>
      <w:r>
        <w:rPr>
          <w:lang w:eastAsia="lt-LT"/>
        </w:rPr>
        <w:t>APS</w:t>
      </w:r>
      <w:proofErr w:type="spellEnd"/>
      <w:r>
        <w:rPr>
          <w:lang w:eastAsia="lt-LT"/>
        </w:rPr>
        <w:t xml:space="preserve">). Tai </w:t>
      </w:r>
      <w:r>
        <w:rPr>
          <w:bCs/>
          <w:szCs w:val="24"/>
          <w:shd w:val="clear" w:color="auto" w:fill="FFFFFF"/>
        </w:rPr>
        <w:t xml:space="preserve">– </w:t>
      </w:r>
      <w:r>
        <w:rPr>
          <w:lang w:eastAsia="lt-LT"/>
        </w:rPr>
        <w:t xml:space="preserve">elektroninė paslauga, skirta gyventojams, vykdantiems individualią veiklą pagal pažymą ar su verslo liudijimu, kuria galima naudotis, prisijungus prie i. </w:t>
      </w:r>
      <w:proofErr w:type="spellStart"/>
      <w:r>
        <w:rPr>
          <w:lang w:eastAsia="lt-LT"/>
        </w:rPr>
        <w:t>MAS</w:t>
      </w:r>
      <w:proofErr w:type="spellEnd"/>
      <w:r>
        <w:rPr>
          <w:lang w:eastAsia="lt-LT"/>
        </w:rPr>
        <w:t xml:space="preserve"> per e. bankininkystę ar su Valstybinės mokesčių inspekcijos priemonėmis;</w:t>
      </w:r>
    </w:p>
    <w:p w14:paraId="50C7395F" w14:textId="77777777" w:rsidR="005E6976" w:rsidRDefault="0082149C">
      <w:pPr>
        <w:shd w:val="clear" w:color="auto" w:fill="FFFFFF"/>
        <w:ind w:firstLine="567"/>
        <w:jc w:val="both"/>
        <w:rPr>
          <w:szCs w:val="24"/>
          <w:lang w:eastAsia="lt-LT"/>
        </w:rPr>
      </w:pPr>
      <w:r>
        <w:rPr>
          <w:szCs w:val="24"/>
          <w:lang w:eastAsia="lt-LT"/>
        </w:rPr>
        <w:t>17.3. bet kokiomis verslo kontrolės priemonėmis (bet kokia atsakingų asmenų (vadovų, savininkų, darbuotojų) nustatyta ir įgyvendinama tvarka, kuri užtikrina tinkamą šioje dalyje nurodytų e. kvitui taikomų reikalavimų laikymąsi);</w:t>
      </w:r>
    </w:p>
    <w:p w14:paraId="05F0DB77" w14:textId="77777777" w:rsidR="005E6976" w:rsidRDefault="0082149C">
      <w:pPr>
        <w:shd w:val="clear" w:color="auto" w:fill="FFFFFF"/>
        <w:ind w:firstLine="567"/>
        <w:jc w:val="both"/>
        <w:rPr>
          <w:szCs w:val="24"/>
          <w:lang w:eastAsia="lt-LT"/>
        </w:rPr>
      </w:pPr>
      <w:r>
        <w:rPr>
          <w:szCs w:val="24"/>
          <w:lang w:eastAsia="lt-LT"/>
        </w:rPr>
        <w:t>17.4. kasos aparatu.</w:t>
      </w:r>
    </w:p>
    <w:p w14:paraId="04201191" w14:textId="77777777" w:rsidR="005E6976" w:rsidRDefault="005E6976">
      <w:pPr>
        <w:shd w:val="clear" w:color="auto" w:fill="FFFFFF"/>
        <w:ind w:firstLine="567"/>
        <w:jc w:val="both"/>
        <w:rPr>
          <w:szCs w:val="24"/>
          <w:lang w:eastAsia="lt-LT"/>
        </w:rPr>
      </w:pPr>
    </w:p>
    <w:p w14:paraId="5D4E9707" w14:textId="77777777" w:rsidR="005E6976" w:rsidRDefault="0082149C">
      <w:pPr>
        <w:spacing w:line="276" w:lineRule="auto"/>
        <w:jc w:val="center"/>
        <w:rPr>
          <w:rFonts w:eastAsia="Calibri"/>
          <w:b/>
          <w:bCs/>
          <w:szCs w:val="24"/>
        </w:rPr>
      </w:pPr>
      <w:r>
        <w:rPr>
          <w:rFonts w:eastAsia="Calibri"/>
          <w:b/>
          <w:bCs/>
          <w:szCs w:val="24"/>
        </w:rPr>
        <w:t>III SKYRIUS</w:t>
      </w:r>
    </w:p>
    <w:p w14:paraId="2B04DFF4" w14:textId="77777777" w:rsidR="005E6976" w:rsidRDefault="0082149C">
      <w:pPr>
        <w:spacing w:line="276" w:lineRule="auto"/>
        <w:jc w:val="center"/>
        <w:rPr>
          <w:rFonts w:eastAsia="Calibri"/>
          <w:szCs w:val="24"/>
        </w:rPr>
      </w:pPr>
      <w:r>
        <w:rPr>
          <w:rFonts w:eastAsia="Calibri"/>
          <w:b/>
          <w:bCs/>
          <w:szCs w:val="24"/>
        </w:rPr>
        <w:t>E. KVITO TIKSLINIMAS</w:t>
      </w:r>
    </w:p>
    <w:p w14:paraId="75106981" w14:textId="77777777" w:rsidR="005E6976" w:rsidRDefault="005E6976">
      <w:pPr>
        <w:spacing w:line="276" w:lineRule="auto"/>
        <w:jc w:val="center"/>
        <w:rPr>
          <w:rFonts w:eastAsia="Calibri"/>
          <w:szCs w:val="24"/>
        </w:rPr>
      </w:pPr>
    </w:p>
    <w:p w14:paraId="11AC8036" w14:textId="77777777" w:rsidR="005E6976" w:rsidRDefault="0082149C">
      <w:pPr>
        <w:ind w:firstLine="567"/>
        <w:jc w:val="both"/>
        <w:rPr>
          <w:color w:val="000000"/>
          <w:szCs w:val="24"/>
        </w:rPr>
      </w:pPr>
      <w:r>
        <w:rPr>
          <w:rFonts w:eastAsia="Calibri"/>
          <w:szCs w:val="24"/>
        </w:rPr>
        <w:t>18. E. kvito d</w:t>
      </w:r>
      <w:r>
        <w:rPr>
          <w:color w:val="000000"/>
          <w:szCs w:val="24"/>
        </w:rPr>
        <w:t xml:space="preserve">uomenys gali būti tikslinami, jeigu pateiktame e. kvite nustatyta duomenų klaidų ar atsiranda poreikis pateikti papildomus duomenis, taip pat ir kitais atvejais. Tikslinant e. kvito duomenis, taisymai atliekami, vadovaujantis </w:t>
      </w:r>
      <w:proofErr w:type="spellStart"/>
      <w:r>
        <w:rPr>
          <w:color w:val="000000"/>
          <w:szCs w:val="24"/>
        </w:rPr>
        <w:t>FAĮ</w:t>
      </w:r>
      <w:proofErr w:type="spellEnd"/>
      <w:r>
        <w:rPr>
          <w:color w:val="000000"/>
          <w:szCs w:val="24"/>
        </w:rPr>
        <w:t xml:space="preserve">. </w:t>
      </w:r>
    </w:p>
    <w:p w14:paraId="21BF6552" w14:textId="77777777" w:rsidR="005E6976" w:rsidRDefault="0082149C">
      <w:pPr>
        <w:shd w:val="clear" w:color="auto" w:fill="FFFFFF"/>
        <w:ind w:firstLine="567"/>
        <w:jc w:val="both"/>
        <w:rPr>
          <w:color w:val="000000"/>
          <w:szCs w:val="24"/>
          <w:shd w:val="clear" w:color="auto" w:fill="FFFFFF"/>
        </w:rPr>
      </w:pPr>
      <w:r>
        <w:rPr>
          <w:color w:val="000000"/>
          <w:szCs w:val="24"/>
          <w:shd w:val="clear" w:color="auto" w:fill="FFFFFF"/>
          <w:lang w:eastAsia="lt-LT"/>
        </w:rPr>
        <w:t xml:space="preserve">19. E. kvitas, kuris laikomas PVM sąskaita faktūra arba sąskaita faktūra, dėl jo specifiškumo negali būti laikomas kreditiniu arba debetiniu dokumentu. Todėl po e. kvito, kuris laikomas PVM sąskaita faktūra, pateikimo pirkėjui aplinkybių, nurodytų PVM įstatymo 83 straipsnyje, tikslinimas atliekamas, vadovaujantis </w:t>
      </w:r>
      <w:r>
        <w:rPr>
          <w:color w:val="000000"/>
          <w:szCs w:val="24"/>
          <w:shd w:val="clear" w:color="auto" w:fill="FFFFFF"/>
        </w:rPr>
        <w:t xml:space="preserve">PVM įstatymo 83 straipsnio nuostatomis, o e. kvito, kuris laikomas sąskaita faktūra, </w:t>
      </w:r>
      <w:r>
        <w:rPr>
          <w:b/>
          <w:szCs w:val="24"/>
          <w:shd w:val="clear" w:color="auto" w:fill="FFFFFF"/>
          <w:lang w:eastAsia="lt-LT"/>
        </w:rPr>
        <w:t>–</w:t>
      </w:r>
      <w:r>
        <w:rPr>
          <w:color w:val="000000"/>
          <w:szCs w:val="24"/>
          <w:shd w:val="clear" w:color="auto" w:fill="FFFFFF"/>
        </w:rPr>
        <w:t xml:space="preserve"> vadovaujantis </w:t>
      </w:r>
      <w:r>
        <w:rPr>
          <w:szCs w:val="24"/>
          <w:lang w:eastAsia="lt-LT"/>
        </w:rPr>
        <w:t>Mokesčiams apskaičiuoti naudojamų dokumentų taisyklėse</w:t>
      </w:r>
      <w:r>
        <w:rPr>
          <w:color w:val="000000"/>
          <w:szCs w:val="24"/>
          <w:shd w:val="clear" w:color="auto" w:fill="FFFFFF"/>
        </w:rPr>
        <w:t xml:space="preserve"> nustatyta tvarka.</w:t>
      </w:r>
    </w:p>
    <w:p w14:paraId="469EBC20" w14:textId="77777777" w:rsidR="005E6976" w:rsidRDefault="005E6976">
      <w:pPr>
        <w:spacing w:line="276" w:lineRule="auto"/>
        <w:jc w:val="center"/>
        <w:rPr>
          <w:rFonts w:eastAsia="Calibri"/>
          <w:bCs/>
          <w:szCs w:val="24"/>
        </w:rPr>
      </w:pPr>
    </w:p>
    <w:p w14:paraId="52A40073" w14:textId="77777777" w:rsidR="005E6976" w:rsidRDefault="0082149C">
      <w:pPr>
        <w:spacing w:line="276" w:lineRule="auto"/>
        <w:jc w:val="center"/>
        <w:rPr>
          <w:rFonts w:eastAsia="Calibri"/>
          <w:b/>
          <w:bCs/>
          <w:szCs w:val="24"/>
        </w:rPr>
      </w:pPr>
      <w:r>
        <w:rPr>
          <w:rFonts w:eastAsia="Calibri"/>
          <w:b/>
          <w:bCs/>
          <w:szCs w:val="24"/>
        </w:rPr>
        <w:t>IV SKYRIUS</w:t>
      </w:r>
    </w:p>
    <w:p w14:paraId="78B21A09" w14:textId="77777777" w:rsidR="005E6976" w:rsidRDefault="0082149C">
      <w:pPr>
        <w:spacing w:line="276" w:lineRule="auto"/>
        <w:jc w:val="center"/>
        <w:rPr>
          <w:rFonts w:eastAsia="Calibri"/>
          <w:b/>
          <w:bCs/>
          <w:szCs w:val="24"/>
        </w:rPr>
      </w:pPr>
      <w:r>
        <w:rPr>
          <w:rFonts w:eastAsia="Calibri"/>
          <w:b/>
          <w:bCs/>
          <w:szCs w:val="24"/>
        </w:rPr>
        <w:t>E. KVITO SAUGOJIMAS</w:t>
      </w:r>
    </w:p>
    <w:p w14:paraId="639DB870" w14:textId="77777777" w:rsidR="005E6976" w:rsidRDefault="005E6976">
      <w:pPr>
        <w:spacing w:line="276" w:lineRule="auto"/>
        <w:jc w:val="center"/>
        <w:rPr>
          <w:rFonts w:eastAsia="Calibri"/>
          <w:szCs w:val="24"/>
        </w:rPr>
      </w:pPr>
    </w:p>
    <w:p w14:paraId="34B9938E" w14:textId="77777777" w:rsidR="005E6976" w:rsidRDefault="0082149C">
      <w:pPr>
        <w:spacing w:line="276" w:lineRule="auto"/>
        <w:ind w:firstLine="567"/>
        <w:jc w:val="both"/>
        <w:rPr>
          <w:rFonts w:eastAsia="Calibri"/>
          <w:szCs w:val="24"/>
        </w:rPr>
      </w:pPr>
      <w:r>
        <w:rPr>
          <w:color w:val="000000"/>
          <w:szCs w:val="24"/>
          <w:shd w:val="clear" w:color="auto" w:fill="FFFFFF"/>
        </w:rPr>
        <w:t xml:space="preserve">20. </w:t>
      </w:r>
      <w:r>
        <w:rPr>
          <w:rFonts w:eastAsia="Calibri"/>
          <w:szCs w:val="24"/>
        </w:rPr>
        <w:t xml:space="preserve">E. kvitai saugomi </w:t>
      </w:r>
      <w:proofErr w:type="spellStart"/>
      <w:r>
        <w:rPr>
          <w:rFonts w:eastAsia="Calibri"/>
          <w:szCs w:val="24"/>
        </w:rPr>
        <w:t>FAĮ</w:t>
      </w:r>
      <w:proofErr w:type="spellEnd"/>
      <w:r>
        <w:rPr>
          <w:rFonts w:eastAsia="Calibri"/>
          <w:szCs w:val="24"/>
        </w:rPr>
        <w:t xml:space="preserve"> 10 straipsnyje nustatyta tvarka. E. kvitai, laikomi PVM sąskaitomis faktūromis, saugomi PVM įstatymo 78 straipsnyje nustatyta tvarka.</w:t>
      </w:r>
    </w:p>
    <w:p w14:paraId="4E5E7385" w14:textId="77777777" w:rsidR="005E6976" w:rsidRDefault="005E6976">
      <w:pPr>
        <w:ind w:firstLine="567"/>
        <w:jc w:val="both"/>
        <w:rPr>
          <w:rFonts w:eastAsia="Calibri"/>
          <w:szCs w:val="24"/>
        </w:rPr>
      </w:pPr>
    </w:p>
    <w:p w14:paraId="1882935B" w14:textId="77777777" w:rsidR="005E6976" w:rsidRDefault="0082149C">
      <w:pPr>
        <w:ind w:firstLine="567"/>
        <w:jc w:val="center"/>
        <w:rPr>
          <w:rFonts w:eastAsia="Calibri"/>
          <w:b/>
          <w:szCs w:val="24"/>
        </w:rPr>
      </w:pPr>
      <w:r>
        <w:rPr>
          <w:rFonts w:eastAsia="Calibri"/>
          <w:b/>
          <w:szCs w:val="24"/>
        </w:rPr>
        <w:t>V SKYRIUS</w:t>
      </w:r>
    </w:p>
    <w:p w14:paraId="645BBBF5" w14:textId="77777777" w:rsidR="005E6976" w:rsidRDefault="0082149C">
      <w:pPr>
        <w:ind w:firstLine="567"/>
        <w:jc w:val="center"/>
        <w:rPr>
          <w:rFonts w:eastAsia="Calibri"/>
          <w:b/>
          <w:szCs w:val="24"/>
        </w:rPr>
      </w:pPr>
      <w:r>
        <w:rPr>
          <w:rFonts w:eastAsia="Calibri"/>
          <w:b/>
          <w:szCs w:val="24"/>
        </w:rPr>
        <w:t>BAIGIAMOSIOS NUOSTATOS</w:t>
      </w:r>
    </w:p>
    <w:p w14:paraId="2E46A529" w14:textId="77777777" w:rsidR="005E6976" w:rsidRDefault="005E6976">
      <w:pPr>
        <w:ind w:firstLine="567"/>
        <w:jc w:val="center"/>
        <w:rPr>
          <w:rFonts w:eastAsia="Calibri"/>
          <w:b/>
          <w:szCs w:val="24"/>
        </w:rPr>
      </w:pPr>
    </w:p>
    <w:p w14:paraId="673AD2BC" w14:textId="77777777" w:rsidR="005E6976" w:rsidRDefault="0082149C">
      <w:pPr>
        <w:suppressAutoHyphens/>
        <w:ind w:firstLine="567"/>
        <w:jc w:val="both"/>
        <w:rPr>
          <w:rFonts w:eastAsia="Calibri"/>
          <w:szCs w:val="24"/>
        </w:rPr>
      </w:pPr>
      <w:r>
        <w:rPr>
          <w:rFonts w:eastAsia="Calibri"/>
          <w:szCs w:val="24"/>
        </w:rPr>
        <w:t>21. Už T</w:t>
      </w:r>
      <w:r>
        <w:rPr>
          <w:szCs w:val="24"/>
        </w:rPr>
        <w:t>aisyklėse</w:t>
      </w:r>
      <w:r>
        <w:rPr>
          <w:rFonts w:eastAsia="Calibri"/>
          <w:szCs w:val="24"/>
        </w:rPr>
        <w:t xml:space="preserve"> nustatytų reikalavimų nevykdymą ar netinkamą jų vykdymą taikoma atsakomybė Lietuvos Respublikos administracinių nusižengimų kodekso nustatyta tvarka.</w:t>
      </w:r>
    </w:p>
    <w:p w14:paraId="56B36304" w14:textId="77777777" w:rsidR="005E6976" w:rsidRDefault="0082149C">
      <w:pPr>
        <w:suppressAutoHyphens/>
        <w:ind w:firstLine="567"/>
        <w:jc w:val="center"/>
        <w:rPr>
          <w:rFonts w:eastAsia="Calibri"/>
          <w:szCs w:val="24"/>
        </w:rPr>
      </w:pPr>
      <w:r>
        <w:rPr>
          <w:rFonts w:ascii="Arial" w:hAnsi="Arial" w:cs="Arial"/>
          <w:color w:val="000000"/>
          <w:sz w:val="22"/>
          <w:szCs w:val="22"/>
          <w:shd w:val="clear" w:color="auto" w:fill="FFFFFF"/>
        </w:rPr>
        <w:t>______________</w:t>
      </w:r>
    </w:p>
    <w:sectPr w:rsidR="005E6976" w:rsidSect="0082149C">
      <w:pgSz w:w="11900" w:h="16840"/>
      <w:pgMar w:top="1296" w:right="720" w:bottom="1296"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DABBA" w14:textId="77777777" w:rsidR="005B6C0A" w:rsidRDefault="005B6C0A">
      <w:r>
        <w:separator/>
      </w:r>
    </w:p>
  </w:endnote>
  <w:endnote w:type="continuationSeparator" w:id="0">
    <w:p w14:paraId="599D070A" w14:textId="77777777" w:rsidR="005B6C0A" w:rsidRDefault="005B6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0FF" w:csb1="00000000"/>
  </w:font>
  <w:font w:name="Trebuchet MS">
    <w:altName w:val="Trebuchet MS"/>
    <w:panose1 w:val="020B0603020202020204"/>
    <w:charset w:val="BA"/>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130D" w14:textId="77777777" w:rsidR="005E6976" w:rsidRDefault="005E697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AC43" w14:textId="77777777" w:rsidR="005E6976" w:rsidRDefault="005E697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10A6" w14:textId="77777777" w:rsidR="005E6976" w:rsidRDefault="005E697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5FD8" w14:textId="77777777" w:rsidR="005B6C0A" w:rsidRDefault="005B6C0A">
      <w:r>
        <w:separator/>
      </w:r>
    </w:p>
  </w:footnote>
  <w:footnote w:type="continuationSeparator" w:id="0">
    <w:p w14:paraId="56A9C217" w14:textId="77777777" w:rsidR="005B6C0A" w:rsidRDefault="005B6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4683" w14:textId="77777777" w:rsidR="005E6976" w:rsidRDefault="005E697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3919" w14:textId="77777777" w:rsidR="005E6976" w:rsidRDefault="0082149C">
    <w:pPr>
      <w:tabs>
        <w:tab w:val="center" w:pos="4819"/>
        <w:tab w:val="right" w:pos="9638"/>
      </w:tabs>
      <w:jc w:val="center"/>
    </w:pPr>
    <w:r>
      <w:fldChar w:fldCharType="begin"/>
    </w:r>
    <w:r>
      <w:instrText>PAGE   \* MERGEFORMAT</w:instrText>
    </w:r>
    <w:r>
      <w:fldChar w:fldCharType="separate"/>
    </w:r>
    <w:r>
      <w:rPr>
        <w:noProof/>
      </w:rPr>
      <w:t>2</w:t>
    </w:r>
    <w:r>
      <w:fldChar w:fldCharType="end"/>
    </w:r>
  </w:p>
  <w:p w14:paraId="0C185BB6" w14:textId="77777777" w:rsidR="005E6976" w:rsidRDefault="005E6976">
    <w:pPr>
      <w:tabs>
        <w:tab w:val="center" w:pos="4819"/>
        <w:tab w:val="right" w:pos="9638"/>
      </w:tabs>
      <w:jc w:val="right"/>
      <w:rPr>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80B7" w14:textId="77777777" w:rsidR="005E6976" w:rsidRDefault="005E6976">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97F"/>
    <w:rsid w:val="003C7951"/>
    <w:rsid w:val="005B6C0A"/>
    <w:rsid w:val="005E6976"/>
    <w:rsid w:val="00613589"/>
    <w:rsid w:val="0082149C"/>
    <w:rsid w:val="00A2097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88710"/>
  <w15:chartTrackingRefBased/>
  <w15:docId w15:val="{DA797D2E-F46B-4324-93DA-B8E7C3C4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2149C"/>
    <w:rPr>
      <w:color w:val="808080"/>
    </w:rPr>
  </w:style>
  <w:style w:type="paragraph" w:styleId="Revision">
    <w:name w:val="Revision"/>
    <w:hidden/>
    <w:semiHidden/>
    <w:rsid w:val="003C7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2372">
      <w:bodyDiv w:val="1"/>
      <w:marLeft w:val="0"/>
      <w:marRight w:val="0"/>
      <w:marTop w:val="0"/>
      <w:marBottom w:val="0"/>
      <w:divBdr>
        <w:top w:val="none" w:sz="0" w:space="0" w:color="auto"/>
        <w:left w:val="none" w:sz="0" w:space="0" w:color="auto"/>
        <w:bottom w:val="none" w:sz="0" w:space="0" w:color="auto"/>
        <w:right w:val="none" w:sz="0" w:space="0" w:color="auto"/>
      </w:divBdr>
    </w:div>
    <w:div w:id="42213717">
      <w:bodyDiv w:val="1"/>
      <w:marLeft w:val="0"/>
      <w:marRight w:val="0"/>
      <w:marTop w:val="0"/>
      <w:marBottom w:val="0"/>
      <w:divBdr>
        <w:top w:val="none" w:sz="0" w:space="0" w:color="auto"/>
        <w:left w:val="none" w:sz="0" w:space="0" w:color="auto"/>
        <w:bottom w:val="none" w:sz="0" w:space="0" w:color="auto"/>
        <w:right w:val="none" w:sz="0" w:space="0" w:color="auto"/>
      </w:divBdr>
    </w:div>
    <w:div w:id="269314092">
      <w:bodyDiv w:val="1"/>
      <w:marLeft w:val="0"/>
      <w:marRight w:val="0"/>
      <w:marTop w:val="0"/>
      <w:marBottom w:val="0"/>
      <w:divBdr>
        <w:top w:val="none" w:sz="0" w:space="0" w:color="auto"/>
        <w:left w:val="none" w:sz="0" w:space="0" w:color="auto"/>
        <w:bottom w:val="none" w:sz="0" w:space="0" w:color="auto"/>
        <w:right w:val="none" w:sz="0" w:space="0" w:color="auto"/>
      </w:divBdr>
    </w:div>
    <w:div w:id="433792633">
      <w:bodyDiv w:val="1"/>
      <w:marLeft w:val="0"/>
      <w:marRight w:val="0"/>
      <w:marTop w:val="0"/>
      <w:marBottom w:val="0"/>
      <w:divBdr>
        <w:top w:val="none" w:sz="0" w:space="0" w:color="auto"/>
        <w:left w:val="none" w:sz="0" w:space="0" w:color="auto"/>
        <w:bottom w:val="none" w:sz="0" w:space="0" w:color="auto"/>
        <w:right w:val="none" w:sz="0" w:space="0" w:color="auto"/>
      </w:divBdr>
    </w:div>
    <w:div w:id="474758468">
      <w:bodyDiv w:val="1"/>
      <w:marLeft w:val="0"/>
      <w:marRight w:val="0"/>
      <w:marTop w:val="0"/>
      <w:marBottom w:val="0"/>
      <w:divBdr>
        <w:top w:val="none" w:sz="0" w:space="0" w:color="auto"/>
        <w:left w:val="none" w:sz="0" w:space="0" w:color="auto"/>
        <w:bottom w:val="none" w:sz="0" w:space="0" w:color="auto"/>
        <w:right w:val="none" w:sz="0" w:space="0" w:color="auto"/>
      </w:divBdr>
      <w:divsChild>
        <w:div w:id="1093207464">
          <w:marLeft w:val="547"/>
          <w:marRight w:val="0"/>
          <w:marTop w:val="160"/>
          <w:marBottom w:val="0"/>
          <w:divBdr>
            <w:top w:val="none" w:sz="0" w:space="0" w:color="auto"/>
            <w:left w:val="none" w:sz="0" w:space="0" w:color="auto"/>
            <w:bottom w:val="none" w:sz="0" w:space="0" w:color="auto"/>
            <w:right w:val="none" w:sz="0" w:space="0" w:color="auto"/>
          </w:divBdr>
        </w:div>
        <w:div w:id="2146776962">
          <w:marLeft w:val="547"/>
          <w:marRight w:val="0"/>
          <w:marTop w:val="160"/>
          <w:marBottom w:val="0"/>
          <w:divBdr>
            <w:top w:val="none" w:sz="0" w:space="0" w:color="auto"/>
            <w:left w:val="none" w:sz="0" w:space="0" w:color="auto"/>
            <w:bottom w:val="none" w:sz="0" w:space="0" w:color="auto"/>
            <w:right w:val="none" w:sz="0" w:space="0" w:color="auto"/>
          </w:divBdr>
        </w:div>
      </w:divsChild>
    </w:div>
    <w:div w:id="545870537">
      <w:bodyDiv w:val="1"/>
      <w:marLeft w:val="0"/>
      <w:marRight w:val="0"/>
      <w:marTop w:val="0"/>
      <w:marBottom w:val="0"/>
      <w:divBdr>
        <w:top w:val="none" w:sz="0" w:space="0" w:color="auto"/>
        <w:left w:val="none" w:sz="0" w:space="0" w:color="auto"/>
        <w:bottom w:val="none" w:sz="0" w:space="0" w:color="auto"/>
        <w:right w:val="none" w:sz="0" w:space="0" w:color="auto"/>
      </w:divBdr>
    </w:div>
    <w:div w:id="608507777">
      <w:bodyDiv w:val="1"/>
      <w:marLeft w:val="0"/>
      <w:marRight w:val="0"/>
      <w:marTop w:val="0"/>
      <w:marBottom w:val="0"/>
      <w:divBdr>
        <w:top w:val="none" w:sz="0" w:space="0" w:color="auto"/>
        <w:left w:val="none" w:sz="0" w:space="0" w:color="auto"/>
        <w:bottom w:val="none" w:sz="0" w:space="0" w:color="auto"/>
        <w:right w:val="none" w:sz="0" w:space="0" w:color="auto"/>
      </w:divBdr>
      <w:divsChild>
        <w:div w:id="1103384219">
          <w:marLeft w:val="547"/>
          <w:marRight w:val="0"/>
          <w:marTop w:val="160"/>
          <w:marBottom w:val="0"/>
          <w:divBdr>
            <w:top w:val="none" w:sz="0" w:space="0" w:color="auto"/>
            <w:left w:val="none" w:sz="0" w:space="0" w:color="auto"/>
            <w:bottom w:val="none" w:sz="0" w:space="0" w:color="auto"/>
            <w:right w:val="none" w:sz="0" w:space="0" w:color="auto"/>
          </w:divBdr>
        </w:div>
      </w:divsChild>
    </w:div>
    <w:div w:id="695736885">
      <w:bodyDiv w:val="1"/>
      <w:marLeft w:val="0"/>
      <w:marRight w:val="0"/>
      <w:marTop w:val="0"/>
      <w:marBottom w:val="0"/>
      <w:divBdr>
        <w:top w:val="none" w:sz="0" w:space="0" w:color="auto"/>
        <w:left w:val="none" w:sz="0" w:space="0" w:color="auto"/>
        <w:bottom w:val="none" w:sz="0" w:space="0" w:color="auto"/>
        <w:right w:val="none" w:sz="0" w:space="0" w:color="auto"/>
      </w:divBdr>
    </w:div>
    <w:div w:id="899560705">
      <w:bodyDiv w:val="1"/>
      <w:marLeft w:val="0"/>
      <w:marRight w:val="0"/>
      <w:marTop w:val="0"/>
      <w:marBottom w:val="0"/>
      <w:divBdr>
        <w:top w:val="none" w:sz="0" w:space="0" w:color="auto"/>
        <w:left w:val="none" w:sz="0" w:space="0" w:color="auto"/>
        <w:bottom w:val="none" w:sz="0" w:space="0" w:color="auto"/>
        <w:right w:val="none" w:sz="0" w:space="0" w:color="auto"/>
      </w:divBdr>
    </w:div>
    <w:div w:id="901872206">
      <w:bodyDiv w:val="1"/>
      <w:marLeft w:val="0"/>
      <w:marRight w:val="0"/>
      <w:marTop w:val="0"/>
      <w:marBottom w:val="0"/>
      <w:divBdr>
        <w:top w:val="none" w:sz="0" w:space="0" w:color="auto"/>
        <w:left w:val="none" w:sz="0" w:space="0" w:color="auto"/>
        <w:bottom w:val="none" w:sz="0" w:space="0" w:color="auto"/>
        <w:right w:val="none" w:sz="0" w:space="0" w:color="auto"/>
      </w:divBdr>
    </w:div>
    <w:div w:id="975795705">
      <w:bodyDiv w:val="1"/>
      <w:marLeft w:val="0"/>
      <w:marRight w:val="0"/>
      <w:marTop w:val="0"/>
      <w:marBottom w:val="0"/>
      <w:divBdr>
        <w:top w:val="none" w:sz="0" w:space="0" w:color="auto"/>
        <w:left w:val="none" w:sz="0" w:space="0" w:color="auto"/>
        <w:bottom w:val="none" w:sz="0" w:space="0" w:color="auto"/>
        <w:right w:val="none" w:sz="0" w:space="0" w:color="auto"/>
      </w:divBdr>
    </w:div>
    <w:div w:id="1121799588">
      <w:bodyDiv w:val="1"/>
      <w:marLeft w:val="0"/>
      <w:marRight w:val="0"/>
      <w:marTop w:val="0"/>
      <w:marBottom w:val="0"/>
      <w:divBdr>
        <w:top w:val="none" w:sz="0" w:space="0" w:color="auto"/>
        <w:left w:val="none" w:sz="0" w:space="0" w:color="auto"/>
        <w:bottom w:val="none" w:sz="0" w:space="0" w:color="auto"/>
        <w:right w:val="none" w:sz="0" w:space="0" w:color="auto"/>
      </w:divBdr>
    </w:div>
    <w:div w:id="1134954052">
      <w:bodyDiv w:val="1"/>
      <w:marLeft w:val="0"/>
      <w:marRight w:val="0"/>
      <w:marTop w:val="0"/>
      <w:marBottom w:val="0"/>
      <w:divBdr>
        <w:top w:val="none" w:sz="0" w:space="0" w:color="auto"/>
        <w:left w:val="none" w:sz="0" w:space="0" w:color="auto"/>
        <w:bottom w:val="none" w:sz="0" w:space="0" w:color="auto"/>
        <w:right w:val="none" w:sz="0" w:space="0" w:color="auto"/>
      </w:divBdr>
      <w:divsChild>
        <w:div w:id="138353638">
          <w:marLeft w:val="547"/>
          <w:marRight w:val="0"/>
          <w:marTop w:val="160"/>
          <w:marBottom w:val="0"/>
          <w:divBdr>
            <w:top w:val="none" w:sz="0" w:space="0" w:color="auto"/>
            <w:left w:val="none" w:sz="0" w:space="0" w:color="auto"/>
            <w:bottom w:val="none" w:sz="0" w:space="0" w:color="auto"/>
            <w:right w:val="none" w:sz="0" w:space="0" w:color="auto"/>
          </w:divBdr>
        </w:div>
        <w:div w:id="1044670396">
          <w:marLeft w:val="547"/>
          <w:marRight w:val="0"/>
          <w:marTop w:val="160"/>
          <w:marBottom w:val="0"/>
          <w:divBdr>
            <w:top w:val="none" w:sz="0" w:space="0" w:color="auto"/>
            <w:left w:val="none" w:sz="0" w:space="0" w:color="auto"/>
            <w:bottom w:val="none" w:sz="0" w:space="0" w:color="auto"/>
            <w:right w:val="none" w:sz="0" w:space="0" w:color="auto"/>
          </w:divBdr>
        </w:div>
        <w:div w:id="262223817">
          <w:marLeft w:val="547"/>
          <w:marRight w:val="0"/>
          <w:marTop w:val="160"/>
          <w:marBottom w:val="0"/>
          <w:divBdr>
            <w:top w:val="none" w:sz="0" w:space="0" w:color="auto"/>
            <w:left w:val="none" w:sz="0" w:space="0" w:color="auto"/>
            <w:bottom w:val="none" w:sz="0" w:space="0" w:color="auto"/>
            <w:right w:val="none" w:sz="0" w:space="0" w:color="auto"/>
          </w:divBdr>
        </w:div>
        <w:div w:id="811093329">
          <w:marLeft w:val="547"/>
          <w:marRight w:val="0"/>
          <w:marTop w:val="160"/>
          <w:marBottom w:val="0"/>
          <w:divBdr>
            <w:top w:val="none" w:sz="0" w:space="0" w:color="auto"/>
            <w:left w:val="none" w:sz="0" w:space="0" w:color="auto"/>
            <w:bottom w:val="none" w:sz="0" w:space="0" w:color="auto"/>
            <w:right w:val="none" w:sz="0" w:space="0" w:color="auto"/>
          </w:divBdr>
        </w:div>
        <w:div w:id="1766919175">
          <w:marLeft w:val="547"/>
          <w:marRight w:val="0"/>
          <w:marTop w:val="160"/>
          <w:marBottom w:val="0"/>
          <w:divBdr>
            <w:top w:val="none" w:sz="0" w:space="0" w:color="auto"/>
            <w:left w:val="none" w:sz="0" w:space="0" w:color="auto"/>
            <w:bottom w:val="none" w:sz="0" w:space="0" w:color="auto"/>
            <w:right w:val="none" w:sz="0" w:space="0" w:color="auto"/>
          </w:divBdr>
        </w:div>
        <w:div w:id="1857310240">
          <w:marLeft w:val="547"/>
          <w:marRight w:val="0"/>
          <w:marTop w:val="160"/>
          <w:marBottom w:val="0"/>
          <w:divBdr>
            <w:top w:val="none" w:sz="0" w:space="0" w:color="auto"/>
            <w:left w:val="none" w:sz="0" w:space="0" w:color="auto"/>
            <w:bottom w:val="none" w:sz="0" w:space="0" w:color="auto"/>
            <w:right w:val="none" w:sz="0" w:space="0" w:color="auto"/>
          </w:divBdr>
        </w:div>
      </w:divsChild>
    </w:div>
    <w:div w:id="1302615380">
      <w:bodyDiv w:val="1"/>
      <w:marLeft w:val="0"/>
      <w:marRight w:val="0"/>
      <w:marTop w:val="0"/>
      <w:marBottom w:val="0"/>
      <w:divBdr>
        <w:top w:val="none" w:sz="0" w:space="0" w:color="auto"/>
        <w:left w:val="none" w:sz="0" w:space="0" w:color="auto"/>
        <w:bottom w:val="none" w:sz="0" w:space="0" w:color="auto"/>
        <w:right w:val="none" w:sz="0" w:space="0" w:color="auto"/>
      </w:divBdr>
      <w:divsChild>
        <w:div w:id="375812181">
          <w:marLeft w:val="547"/>
          <w:marRight w:val="0"/>
          <w:marTop w:val="160"/>
          <w:marBottom w:val="0"/>
          <w:divBdr>
            <w:top w:val="none" w:sz="0" w:space="0" w:color="auto"/>
            <w:left w:val="none" w:sz="0" w:space="0" w:color="auto"/>
            <w:bottom w:val="none" w:sz="0" w:space="0" w:color="auto"/>
            <w:right w:val="none" w:sz="0" w:space="0" w:color="auto"/>
          </w:divBdr>
        </w:div>
        <w:div w:id="1434476513">
          <w:marLeft w:val="547"/>
          <w:marRight w:val="0"/>
          <w:marTop w:val="160"/>
          <w:marBottom w:val="0"/>
          <w:divBdr>
            <w:top w:val="none" w:sz="0" w:space="0" w:color="auto"/>
            <w:left w:val="none" w:sz="0" w:space="0" w:color="auto"/>
            <w:bottom w:val="none" w:sz="0" w:space="0" w:color="auto"/>
            <w:right w:val="none" w:sz="0" w:space="0" w:color="auto"/>
          </w:divBdr>
        </w:div>
      </w:divsChild>
    </w:div>
    <w:div w:id="1451361671">
      <w:bodyDiv w:val="1"/>
      <w:marLeft w:val="0"/>
      <w:marRight w:val="0"/>
      <w:marTop w:val="0"/>
      <w:marBottom w:val="0"/>
      <w:divBdr>
        <w:top w:val="none" w:sz="0" w:space="0" w:color="auto"/>
        <w:left w:val="none" w:sz="0" w:space="0" w:color="auto"/>
        <w:bottom w:val="none" w:sz="0" w:space="0" w:color="auto"/>
        <w:right w:val="none" w:sz="0" w:space="0" w:color="auto"/>
      </w:divBdr>
    </w:div>
    <w:div w:id="1543177654">
      <w:bodyDiv w:val="1"/>
      <w:marLeft w:val="0"/>
      <w:marRight w:val="0"/>
      <w:marTop w:val="0"/>
      <w:marBottom w:val="0"/>
      <w:divBdr>
        <w:top w:val="none" w:sz="0" w:space="0" w:color="auto"/>
        <w:left w:val="none" w:sz="0" w:space="0" w:color="auto"/>
        <w:bottom w:val="none" w:sz="0" w:space="0" w:color="auto"/>
        <w:right w:val="none" w:sz="0" w:space="0" w:color="auto"/>
      </w:divBdr>
      <w:divsChild>
        <w:div w:id="1253127558">
          <w:marLeft w:val="0"/>
          <w:marRight w:val="0"/>
          <w:marTop w:val="0"/>
          <w:marBottom w:val="0"/>
          <w:divBdr>
            <w:top w:val="none" w:sz="0" w:space="0" w:color="auto"/>
            <w:left w:val="none" w:sz="0" w:space="0" w:color="auto"/>
            <w:bottom w:val="none" w:sz="0" w:space="0" w:color="auto"/>
            <w:right w:val="none" w:sz="0" w:space="0" w:color="auto"/>
          </w:divBdr>
        </w:div>
        <w:div w:id="2092386519">
          <w:marLeft w:val="0"/>
          <w:marRight w:val="0"/>
          <w:marTop w:val="0"/>
          <w:marBottom w:val="0"/>
          <w:divBdr>
            <w:top w:val="none" w:sz="0" w:space="0" w:color="auto"/>
            <w:left w:val="none" w:sz="0" w:space="0" w:color="auto"/>
            <w:bottom w:val="none" w:sz="0" w:space="0" w:color="auto"/>
            <w:right w:val="none" w:sz="0" w:space="0" w:color="auto"/>
          </w:divBdr>
        </w:div>
        <w:div w:id="231357102">
          <w:marLeft w:val="0"/>
          <w:marRight w:val="0"/>
          <w:marTop w:val="0"/>
          <w:marBottom w:val="0"/>
          <w:divBdr>
            <w:top w:val="none" w:sz="0" w:space="0" w:color="auto"/>
            <w:left w:val="none" w:sz="0" w:space="0" w:color="auto"/>
            <w:bottom w:val="none" w:sz="0" w:space="0" w:color="auto"/>
            <w:right w:val="none" w:sz="0" w:space="0" w:color="auto"/>
          </w:divBdr>
        </w:div>
        <w:div w:id="1315835827">
          <w:marLeft w:val="0"/>
          <w:marRight w:val="0"/>
          <w:marTop w:val="0"/>
          <w:marBottom w:val="0"/>
          <w:divBdr>
            <w:top w:val="none" w:sz="0" w:space="0" w:color="auto"/>
            <w:left w:val="none" w:sz="0" w:space="0" w:color="auto"/>
            <w:bottom w:val="none" w:sz="0" w:space="0" w:color="auto"/>
            <w:right w:val="none" w:sz="0" w:space="0" w:color="auto"/>
          </w:divBdr>
        </w:div>
      </w:divsChild>
    </w:div>
    <w:div w:id="1581478805">
      <w:bodyDiv w:val="1"/>
      <w:marLeft w:val="0"/>
      <w:marRight w:val="0"/>
      <w:marTop w:val="0"/>
      <w:marBottom w:val="0"/>
      <w:divBdr>
        <w:top w:val="none" w:sz="0" w:space="0" w:color="auto"/>
        <w:left w:val="none" w:sz="0" w:space="0" w:color="auto"/>
        <w:bottom w:val="none" w:sz="0" w:space="0" w:color="auto"/>
        <w:right w:val="none" w:sz="0" w:space="0" w:color="auto"/>
      </w:divBdr>
    </w:div>
    <w:div w:id="1616134998">
      <w:bodyDiv w:val="1"/>
      <w:marLeft w:val="0"/>
      <w:marRight w:val="0"/>
      <w:marTop w:val="0"/>
      <w:marBottom w:val="0"/>
      <w:divBdr>
        <w:top w:val="none" w:sz="0" w:space="0" w:color="auto"/>
        <w:left w:val="none" w:sz="0" w:space="0" w:color="auto"/>
        <w:bottom w:val="none" w:sz="0" w:space="0" w:color="auto"/>
        <w:right w:val="none" w:sz="0" w:space="0" w:color="auto"/>
      </w:divBdr>
    </w:div>
    <w:div w:id="1660645428">
      <w:bodyDiv w:val="1"/>
      <w:marLeft w:val="0"/>
      <w:marRight w:val="0"/>
      <w:marTop w:val="0"/>
      <w:marBottom w:val="0"/>
      <w:divBdr>
        <w:top w:val="none" w:sz="0" w:space="0" w:color="auto"/>
        <w:left w:val="none" w:sz="0" w:space="0" w:color="auto"/>
        <w:bottom w:val="none" w:sz="0" w:space="0" w:color="auto"/>
        <w:right w:val="none" w:sz="0" w:space="0" w:color="auto"/>
      </w:divBdr>
    </w:div>
    <w:div w:id="1684866947">
      <w:bodyDiv w:val="1"/>
      <w:marLeft w:val="0"/>
      <w:marRight w:val="0"/>
      <w:marTop w:val="0"/>
      <w:marBottom w:val="0"/>
      <w:divBdr>
        <w:top w:val="none" w:sz="0" w:space="0" w:color="auto"/>
        <w:left w:val="none" w:sz="0" w:space="0" w:color="auto"/>
        <w:bottom w:val="none" w:sz="0" w:space="0" w:color="auto"/>
        <w:right w:val="none" w:sz="0" w:space="0" w:color="auto"/>
      </w:divBdr>
    </w:div>
    <w:div w:id="1752045226">
      <w:bodyDiv w:val="1"/>
      <w:marLeft w:val="0"/>
      <w:marRight w:val="0"/>
      <w:marTop w:val="0"/>
      <w:marBottom w:val="0"/>
      <w:divBdr>
        <w:top w:val="none" w:sz="0" w:space="0" w:color="auto"/>
        <w:left w:val="none" w:sz="0" w:space="0" w:color="auto"/>
        <w:bottom w:val="none" w:sz="0" w:space="0" w:color="auto"/>
        <w:right w:val="none" w:sz="0" w:space="0" w:color="auto"/>
      </w:divBdr>
      <w:divsChild>
        <w:div w:id="1182738153">
          <w:marLeft w:val="0"/>
          <w:marRight w:val="0"/>
          <w:marTop w:val="0"/>
          <w:marBottom w:val="0"/>
          <w:divBdr>
            <w:top w:val="none" w:sz="0" w:space="0" w:color="auto"/>
            <w:left w:val="none" w:sz="0" w:space="0" w:color="auto"/>
            <w:bottom w:val="none" w:sz="0" w:space="0" w:color="auto"/>
            <w:right w:val="none" w:sz="0" w:space="0" w:color="auto"/>
          </w:divBdr>
        </w:div>
        <w:div w:id="1515683605">
          <w:marLeft w:val="0"/>
          <w:marRight w:val="0"/>
          <w:marTop w:val="0"/>
          <w:marBottom w:val="0"/>
          <w:divBdr>
            <w:top w:val="none" w:sz="0" w:space="0" w:color="auto"/>
            <w:left w:val="none" w:sz="0" w:space="0" w:color="auto"/>
            <w:bottom w:val="none" w:sz="0" w:space="0" w:color="auto"/>
            <w:right w:val="none" w:sz="0" w:space="0" w:color="auto"/>
          </w:divBdr>
        </w:div>
        <w:div w:id="1994749754">
          <w:marLeft w:val="0"/>
          <w:marRight w:val="0"/>
          <w:marTop w:val="0"/>
          <w:marBottom w:val="0"/>
          <w:divBdr>
            <w:top w:val="none" w:sz="0" w:space="0" w:color="auto"/>
            <w:left w:val="none" w:sz="0" w:space="0" w:color="auto"/>
            <w:bottom w:val="none" w:sz="0" w:space="0" w:color="auto"/>
            <w:right w:val="none" w:sz="0" w:space="0" w:color="auto"/>
          </w:divBdr>
        </w:div>
        <w:div w:id="629752112">
          <w:marLeft w:val="0"/>
          <w:marRight w:val="0"/>
          <w:marTop w:val="0"/>
          <w:marBottom w:val="0"/>
          <w:divBdr>
            <w:top w:val="none" w:sz="0" w:space="0" w:color="auto"/>
            <w:left w:val="none" w:sz="0" w:space="0" w:color="auto"/>
            <w:bottom w:val="none" w:sz="0" w:space="0" w:color="auto"/>
            <w:right w:val="none" w:sz="0" w:space="0" w:color="auto"/>
          </w:divBdr>
        </w:div>
      </w:divsChild>
    </w:div>
    <w:div w:id="1803227296">
      <w:bodyDiv w:val="1"/>
      <w:marLeft w:val="0"/>
      <w:marRight w:val="0"/>
      <w:marTop w:val="0"/>
      <w:marBottom w:val="0"/>
      <w:divBdr>
        <w:top w:val="none" w:sz="0" w:space="0" w:color="auto"/>
        <w:left w:val="none" w:sz="0" w:space="0" w:color="auto"/>
        <w:bottom w:val="none" w:sz="0" w:space="0" w:color="auto"/>
        <w:right w:val="none" w:sz="0" w:space="0" w:color="auto"/>
      </w:divBdr>
    </w:div>
    <w:div w:id="1825583619">
      <w:bodyDiv w:val="1"/>
      <w:marLeft w:val="0"/>
      <w:marRight w:val="0"/>
      <w:marTop w:val="0"/>
      <w:marBottom w:val="0"/>
      <w:divBdr>
        <w:top w:val="none" w:sz="0" w:space="0" w:color="auto"/>
        <w:left w:val="none" w:sz="0" w:space="0" w:color="auto"/>
        <w:bottom w:val="none" w:sz="0" w:space="0" w:color="auto"/>
        <w:right w:val="none" w:sz="0" w:space="0" w:color="auto"/>
      </w:divBdr>
    </w:div>
    <w:div w:id="1843008185">
      <w:bodyDiv w:val="1"/>
      <w:marLeft w:val="0"/>
      <w:marRight w:val="0"/>
      <w:marTop w:val="0"/>
      <w:marBottom w:val="0"/>
      <w:divBdr>
        <w:top w:val="none" w:sz="0" w:space="0" w:color="auto"/>
        <w:left w:val="none" w:sz="0" w:space="0" w:color="auto"/>
        <w:bottom w:val="none" w:sz="0" w:space="0" w:color="auto"/>
        <w:right w:val="none" w:sz="0" w:space="0" w:color="auto"/>
      </w:divBdr>
    </w:div>
    <w:div w:id="2009751404">
      <w:bodyDiv w:val="1"/>
      <w:marLeft w:val="0"/>
      <w:marRight w:val="0"/>
      <w:marTop w:val="0"/>
      <w:marBottom w:val="0"/>
      <w:divBdr>
        <w:top w:val="none" w:sz="0" w:space="0" w:color="auto"/>
        <w:left w:val="none" w:sz="0" w:space="0" w:color="auto"/>
        <w:bottom w:val="none" w:sz="0" w:space="0" w:color="auto"/>
        <w:right w:val="none" w:sz="0" w:space="0" w:color="auto"/>
      </w:divBdr>
    </w:div>
    <w:div w:id="2073040926">
      <w:bodyDiv w:val="1"/>
      <w:marLeft w:val="0"/>
      <w:marRight w:val="0"/>
      <w:marTop w:val="0"/>
      <w:marBottom w:val="0"/>
      <w:divBdr>
        <w:top w:val="none" w:sz="0" w:space="0" w:color="auto"/>
        <w:left w:val="none" w:sz="0" w:space="0" w:color="auto"/>
        <w:bottom w:val="none" w:sz="0" w:space="0" w:color="auto"/>
        <w:right w:val="none" w:sz="0" w:space="0" w:color="auto"/>
      </w:divBdr>
    </w:div>
    <w:div w:id="2095660178">
      <w:bodyDiv w:val="1"/>
      <w:marLeft w:val="0"/>
      <w:marRight w:val="0"/>
      <w:marTop w:val="0"/>
      <w:marBottom w:val="0"/>
      <w:divBdr>
        <w:top w:val="none" w:sz="0" w:space="0" w:color="auto"/>
        <w:left w:val="none" w:sz="0" w:space="0" w:color="auto"/>
        <w:bottom w:val="none" w:sz="0" w:space="0" w:color="auto"/>
        <w:right w:val="none" w:sz="0" w:space="0" w:color="auto"/>
      </w:divBdr>
      <w:divsChild>
        <w:div w:id="182475164">
          <w:marLeft w:val="547"/>
          <w:marRight w:val="0"/>
          <w:marTop w:val="160"/>
          <w:marBottom w:val="0"/>
          <w:divBdr>
            <w:top w:val="none" w:sz="0" w:space="0" w:color="auto"/>
            <w:left w:val="none" w:sz="0" w:space="0" w:color="auto"/>
            <w:bottom w:val="none" w:sz="0" w:space="0" w:color="auto"/>
            <w:right w:val="none" w:sz="0" w:space="0" w:color="auto"/>
          </w:divBdr>
        </w:div>
        <w:div w:id="905190465">
          <w:marLeft w:val="547"/>
          <w:marRight w:val="0"/>
          <w:marTop w:val="160"/>
          <w:marBottom w:val="0"/>
          <w:divBdr>
            <w:top w:val="none" w:sz="0" w:space="0" w:color="auto"/>
            <w:left w:val="none" w:sz="0" w:space="0" w:color="auto"/>
            <w:bottom w:val="none" w:sz="0" w:space="0" w:color="auto"/>
            <w:right w:val="none" w:sz="0" w:space="0" w:color="auto"/>
          </w:divBdr>
        </w:div>
      </w:divsChild>
    </w:div>
    <w:div w:id="2115712016">
      <w:bodyDiv w:val="1"/>
      <w:marLeft w:val="0"/>
      <w:marRight w:val="0"/>
      <w:marTop w:val="0"/>
      <w:marBottom w:val="0"/>
      <w:divBdr>
        <w:top w:val="none" w:sz="0" w:space="0" w:color="auto"/>
        <w:left w:val="none" w:sz="0" w:space="0" w:color="auto"/>
        <w:bottom w:val="none" w:sz="0" w:space="0" w:color="auto"/>
        <w:right w:val="none" w:sz="0" w:space="0" w:color="auto"/>
      </w:divBdr>
    </w:div>
    <w:div w:id="212114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t/legalAct/2475f580754e11e9b81587fcbd5a76f6/asr" TargetMode="Externa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t/legalAct/TAR.84305DD0388A/asr" TargetMode="External"/><Relationship Id="rId2" Type="http://schemas.openxmlformats.org/officeDocument/2006/relationships/styles" Target="styles.xml"/><Relationship Id="rId16" Type="http://schemas.openxmlformats.org/officeDocument/2006/relationships/hyperlink" Target="https://www.e-tar.lt/portal/lt/legalAct/TAR.A7D14A4D66D5/as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t/legalAct/TAR.A77DCEEE5DDC/asr" TargetMode="External"/><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t/legalAct/TAR.2F286B29068D/asr"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54617D3699C66849AACD30AB8C2B8223" ma:contentTypeVersion="15" ma:contentTypeDescription="Kurkite naują dokumentą." ma:contentTypeScope="" ma:versionID="f23984dfbdaf9009d0dd3ac08eb22756">
  <xsd:schema xmlns:xsd="http://www.w3.org/2001/XMLSchema" xmlns:xs="http://www.w3.org/2001/XMLSchema" xmlns:p="http://schemas.microsoft.com/office/2006/metadata/properties" xmlns:ns2="351d430b-b76c-4fe4-9657-e1245428f14c" xmlns:ns3="ef47af1d-ec23-437e-90ad-9c3a100a6e4a" targetNamespace="http://schemas.microsoft.com/office/2006/metadata/properties" ma:root="true" ma:fieldsID="b8cfd9e11490ae59cad2364e0cbe78e6" ns2:_="" ns3:_="">
    <xsd:import namespace="351d430b-b76c-4fe4-9657-e1245428f14c"/>
    <xsd:import namespace="ef47af1d-ec23-437e-90ad-9c3a100a6e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d430b-b76c-4fe4-9657-e1245428f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42116c32-9700-4827-aec6-b5cc56f69e7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7af1d-ec23-437e-90ad-9c3a100a6e4a"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5" nillable="true" ma:displayName="Taxonomy Catch All Column" ma:hidden="true" ma:list="{ec1f4042-cc1b-4003-8ac2-f299f124d9c0}" ma:internalName="TaxCatchAll" ma:showField="CatchAllData" ma:web="ef47af1d-ec23-437e-90ad-9c3a100a6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f47af1d-ec23-437e-90ad-9c3a100a6e4a" xsi:nil="true"/>
    <lcf76f155ced4ddcb4097134ff3c332f xmlns="351d430b-b76c-4fe4-9657-e1245428f1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346455-F82C-4A5B-A669-DC1C48824D9C}">
  <ds:schemaRefs>
    <ds:schemaRef ds:uri="http://schemas.openxmlformats.org/officeDocument/2006/bibliography"/>
  </ds:schemaRefs>
</ds:datastoreItem>
</file>

<file path=customXml/itemProps2.xml><?xml version="1.0" encoding="utf-8"?>
<ds:datastoreItem xmlns:ds="http://schemas.openxmlformats.org/officeDocument/2006/customXml" ds:itemID="{CDDE6D64-2B6C-4AC9-B3FB-84F36A7528F7}"/>
</file>

<file path=customXml/itemProps3.xml><?xml version="1.0" encoding="utf-8"?>
<ds:datastoreItem xmlns:ds="http://schemas.openxmlformats.org/officeDocument/2006/customXml" ds:itemID="{65E90986-8CB6-4B5E-9AF2-2AFE3F2EA4CE}"/>
</file>

<file path=customXml/itemProps4.xml><?xml version="1.0" encoding="utf-8"?>
<ds:datastoreItem xmlns:ds="http://schemas.openxmlformats.org/officeDocument/2006/customXml" ds:itemID="{29AAF1EE-C61A-4907-A218-3EA18F177135}"/>
</file>

<file path=docProps/app.xml><?xml version="1.0" encoding="utf-8"?>
<Properties xmlns="http://schemas.openxmlformats.org/officeDocument/2006/extended-properties" xmlns:vt="http://schemas.openxmlformats.org/officeDocument/2006/docPropsVTypes">
  <Template>Normal.dotm</Template>
  <TotalTime>3</TotalTime>
  <Pages>5</Pages>
  <Words>10207</Words>
  <Characters>5819</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15995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Birutė Stanienė</dc:creator>
  <cp:lastModifiedBy>Gintautas Deveikis</cp:lastModifiedBy>
  <cp:revision>4</cp:revision>
  <dcterms:created xsi:type="dcterms:W3CDTF">2024-03-29T04:44:00Z</dcterms:created>
  <dcterms:modified xsi:type="dcterms:W3CDTF">2026-04-13T14:42:00Z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0x01010054617D3699C66849AACD30AB8C2B8223</vt:lpwstr>
  </property>
</Properties>
</file>